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C869F">
      <w:pPr>
        <w:spacing w:line="600" w:lineRule="exact"/>
        <w:ind w:firstLine="0" w:firstLineChars="0"/>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w:t>
      </w:r>
      <w:r>
        <w:rPr>
          <w:rFonts w:hint="eastAsia" w:ascii="方正小标宋简体" w:hAnsi="宋体" w:eastAsia="方正小标宋简体"/>
          <w:color w:val="000000"/>
          <w:sz w:val="44"/>
          <w:szCs w:val="32"/>
          <w:lang w:eastAsia="zh-CN"/>
        </w:rPr>
        <w:t>横县鱼生全链条管理规范  第4部分：餐饮服务</w:t>
      </w:r>
      <w:r>
        <w:rPr>
          <w:rFonts w:hint="eastAsia" w:ascii="方正小标宋简体" w:hAnsi="宋体" w:eastAsia="方正小标宋简体"/>
          <w:color w:val="000000"/>
          <w:sz w:val="44"/>
          <w:szCs w:val="32"/>
        </w:rPr>
        <w:t>》（征求意见稿）编制说明</w:t>
      </w:r>
    </w:p>
    <w:p w14:paraId="2A855C29">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34374680">
      <w:pPr>
        <w:keepNext w:val="0"/>
        <w:keepLines w:val="0"/>
        <w:widowControl/>
        <w:suppressLineNumbers w:val="0"/>
        <w:jc w:val="left"/>
        <w:rPr>
          <w:rFonts w:ascii="仿宋_GB2312" w:hAnsi="宋体"/>
          <w:szCs w:val="28"/>
        </w:rPr>
      </w:pPr>
      <w:r>
        <w:rPr>
          <w:rFonts w:hint="eastAsia" w:ascii="仿宋_GB2312" w:hAnsi="宋体"/>
          <w:szCs w:val="28"/>
        </w:rPr>
        <w:t>根据《广西营养学会关于下达2025年第一批团体标准制修订项目计划的通知》（桂营学字〔2025〕7号）文件精神，由广西壮族自治区疾病预防控制局提出，</w:t>
      </w:r>
      <w:r>
        <w:rPr>
          <w:rFonts w:hint="eastAsia" w:ascii="仿宋_GB2312" w:hAnsi="宋体"/>
          <w:szCs w:val="28"/>
          <w:lang w:val="en-US" w:eastAsia="zh-CN"/>
        </w:rPr>
        <w:t>南宁市市场监督管理信息中心、广西营养学会、横县安仔鱼生店、广西渔老表餐饮有限公司、南宁市横县鸿翔泉水鱼生态养殖有限公司、广西桂之渔农业科技有限公司、南宁市金渔水产有限公司等</w:t>
      </w:r>
      <w:r>
        <w:rPr>
          <w:rFonts w:hint="eastAsia" w:ascii="仿宋_GB2312" w:hAnsi="宋体"/>
          <w:szCs w:val="28"/>
        </w:rPr>
        <w:t>单位共同起草的团体标准《</w:t>
      </w:r>
      <w:r>
        <w:rPr>
          <w:rFonts w:hint="eastAsia" w:ascii="仿宋_GB2312" w:hAnsi="宋体"/>
          <w:szCs w:val="28"/>
          <w:lang w:eastAsia="zh-CN"/>
        </w:rPr>
        <w:t>横县鱼生全链条管理规范  第4部分：餐饮服务</w:t>
      </w:r>
      <w:r>
        <w:rPr>
          <w:rFonts w:hint="eastAsia" w:ascii="仿宋_GB2312" w:hAnsi="宋体"/>
          <w:szCs w:val="28"/>
        </w:rPr>
        <w:t>》已获批立项。</w:t>
      </w:r>
    </w:p>
    <w:p w14:paraId="702705B3">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46A41D00">
      <w:pPr>
        <w:autoSpaceDE w:val="0"/>
        <w:autoSpaceDN w:val="0"/>
        <w:adjustRightInd w:val="0"/>
        <w:spacing w:line="560" w:lineRule="exact"/>
        <w:ind w:firstLine="640"/>
        <w:rPr>
          <w:rFonts w:ascii="仿宋_GB2312" w:hAnsi="宋体"/>
          <w:szCs w:val="28"/>
        </w:rPr>
      </w:pPr>
      <w:r>
        <w:rPr>
          <w:rFonts w:hint="eastAsia" w:ascii="仿宋_GB2312" w:hAnsi="宋体"/>
          <w:szCs w:val="28"/>
        </w:rPr>
        <w:t>“汴河西引黄河枝，黄流未冻鲤鱼肥。随钩出水卖都市，不惜百金持与归。我家少妇磨宝刀，破鳞奋</w:t>
      </w:r>
      <w:r>
        <w:rPr>
          <w:rFonts w:hint="eastAsia" w:ascii="宋体" w:hAnsi="宋体" w:eastAsia="宋体" w:cs="宋体"/>
          <w:szCs w:val="28"/>
        </w:rPr>
        <w:t>鬐</w:t>
      </w:r>
      <w:r>
        <w:rPr>
          <w:rFonts w:hint="eastAsia" w:ascii="仿宋_GB2312" w:hAnsi="仿宋_GB2312" w:cs="仿宋_GB2312"/>
          <w:szCs w:val="28"/>
        </w:rPr>
        <w:t>如欲飞。萧萧云叶落盘面</w:t>
      </w:r>
      <w:r>
        <w:rPr>
          <w:rFonts w:hint="eastAsia" w:ascii="仿宋_GB2312" w:hAnsi="宋体"/>
          <w:szCs w:val="28"/>
        </w:rPr>
        <w:t>，粟粟霜卜为缕衣。楚橙作齑香出屋，宾朋竞至排入扉。呼儿便索沃腥酒，倒肠饫腹无相讥。逡巡瓶竭上马去，意气不说西山薇。”，这是宋代诗人梅尧臣创作的一首描写鱼生制作与宴客场景的诗。诗中生动描绘了鱼生的制作过程以及宾主尽欢的宴饮情景，展现了宋代文人生活的精致与风雅。现代鱼生制作十分注重刀工与配料，梅尧臣诗中的“破鳞奋</w:t>
      </w:r>
      <w:r>
        <w:rPr>
          <w:rFonts w:hint="eastAsia" w:ascii="宋体" w:hAnsi="宋体" w:eastAsia="宋体" w:cs="宋体"/>
          <w:szCs w:val="28"/>
        </w:rPr>
        <w:t>鬐</w:t>
      </w:r>
      <w:r>
        <w:rPr>
          <w:rFonts w:hint="eastAsia" w:ascii="仿宋_GB2312" w:hAnsi="仿宋_GB2312" w:cs="仿宋_GB2312"/>
          <w:szCs w:val="28"/>
        </w:rPr>
        <w:t>如欲飞”与“萧萧云叶落盘面”正是这种技艺的生动写照</w:t>
      </w:r>
      <w:r>
        <w:rPr>
          <w:rFonts w:hint="eastAsia" w:ascii="仿宋_GB2312" w:hAnsi="宋体"/>
          <w:szCs w:val="28"/>
        </w:rPr>
        <w:t>；鱼生文化在宋代达到鼎盛，后传入日本并发展为刺身文化；横县鱼生不仅是美食，更是文化符号。梅尧臣的诗作为鱼生文化提供了重要的历史见证。</w:t>
      </w:r>
    </w:p>
    <w:p w14:paraId="381EF672">
      <w:pPr>
        <w:autoSpaceDE w:val="0"/>
        <w:autoSpaceDN w:val="0"/>
        <w:adjustRightInd w:val="0"/>
        <w:spacing w:line="560" w:lineRule="exact"/>
        <w:ind w:firstLine="640"/>
        <w:rPr>
          <w:rFonts w:hint="eastAsia" w:ascii="仿宋_GB2312" w:hAnsi="宋体"/>
          <w:szCs w:val="28"/>
        </w:rPr>
      </w:pPr>
      <w:r>
        <w:rPr>
          <w:rFonts w:hint="eastAsia" w:ascii="仿宋_GB2312" w:hAnsi="宋体"/>
          <w:szCs w:val="28"/>
        </w:rPr>
        <w:t>广西横县食鱼生的习俗可追测至明朝，在《横县志书》，《宁明县志》等古籍中均有记载；在《徐霞客游记·粤西游日记三》中曾经提到“乃取巨鱼细切为脍，置大碗中，以葱及姜丝与盐，醋拌而食之，以为至味”；在清朝的《横县志》中，提到“剖活鱼细切，备辛香、蔬、酶下箸拌食”；在近现代《壮族通史》中也提到“将鲜嫩三五斤的大鱼，剥去其皮，除去大小骨头，切成薄片，拌以香油、盐、葱、蒜、姜等作料”，与之前记录无明显差异，能够说明横县食鱼生习俗得到了较好传承。横县食鱼生的习俗具体起源于何年，依然有待历史考证。但从《横县志》记载的民间传说来看，是晋朝洛阳逸士董京隐居时遇仙后得到的鱼生制作手法，在当地发展成为风流韵事。由于历史悠久，同时讲究刀工精细和精致造型，需要做到巧妙配料，拥有独特口味，鱼生被冠以横县“县菜”。而且在《山林县志》中提到，“佳日...视鱼生为商品佳肴”，《平南县志》中提到”鱼生习俗….招待客人，还认为是特种上等菜肴”。鱼生在当地代表饮食最高水平，在招待贵客时被看成是最高规格。横县鱼生之所以久负盛名，与其美妙的口味、做法独特的工艺、选配料的精细有着密切的关系；横县鱼生制作精巧令人拍案叫绝，盈尺之鱼，出水欲飞，去鳞、脱皮、起骨，游刃有余，一气呵成，鱼生配料，五光十色，美轮美奂。</w:t>
      </w:r>
    </w:p>
    <w:p w14:paraId="03A7D2BB">
      <w:pPr>
        <w:autoSpaceDE w:val="0"/>
        <w:autoSpaceDN w:val="0"/>
        <w:adjustRightInd w:val="0"/>
        <w:spacing w:line="560" w:lineRule="exact"/>
        <w:ind w:firstLine="640"/>
        <w:rPr>
          <w:rFonts w:hint="eastAsia" w:ascii="仿宋_GB2312" w:hAnsi="宋体"/>
          <w:szCs w:val="28"/>
        </w:rPr>
      </w:pPr>
      <w:r>
        <w:rPr>
          <w:rFonts w:hint="eastAsia" w:ascii="仿宋_GB2312" w:hAnsi="宋体"/>
          <w:szCs w:val="28"/>
          <w:lang w:val="en-US" w:eastAsia="zh-CN"/>
        </w:rPr>
        <w:t>横县鱼生在“种、劲、白、薄、厚、鲜”这六个字上，下足了“特色”功夫。种：吃鱼生要选好鱼的品种。花鱼、青竹鱼、桂花鱼、草鱼、鲤鱼、鲮鱼等皆可加工鱼生。劲：就是鱼肉要结实强劲，有嚼头。鱼的肌肉质量对鱼生而言至为关键，它决定鱼肉口感。鱼肉强劲，则口舌生汁，越嚼越有味道。若鱼肉羸弱如败絮，则无法体会到咀嚼的快感，自然味如嚼蜡。白：就是鱼肉莹白如雪、玲珑可观，鱼肉的肌肤纹理，纤毫毕见。要白就要把血放干净，最佳者割腮，割腮后继续放入水中，这样鱼不会马上死去而是在水中放血，几分钟后，血尽鱼亡，鱼肉就会莹白如雪，玉色逼人。薄：鱼片要切得薄如蝉翼，才容易入味。要想切薄片，须准备一把极为锋利的刀，左手拇指、食指压住鱼肉，右手把刀，刀与鱼肉呈45°夹角，刃面朝向砧板，看准部位，一刀斜切，片羽滑落，可得薄片。厚：调料的种类一定要丰富厚重，才能压住腥味，才能体会到鱼生的鲜美可口。葱、姜、蒜末、头菜、鱼生菜、辣椒、油、盐、酱、醋是必不可少的基本配料，横县鱼生更在这些基础上加入横县独特的木瓜丁，柠檬、柠檬叶、洋葱、辣丁根、炸芋头丝等二十多种，再配上横县本地花生油、生抽、胡椒粉总共三十多种生鲜猛料，共同淘冶鱼生片。鲜：夹一大把生鲜猛料，包一片鱼生，放入口中，香辣酸鲜，浓香冲鼻，嗅觉极度震撼，味蕾大受刺激，顿时口舌生津。</w:t>
      </w:r>
    </w:p>
    <w:p w14:paraId="53F57183">
      <w:pPr>
        <w:autoSpaceDE w:val="0"/>
        <w:autoSpaceDN w:val="0"/>
        <w:adjustRightInd w:val="0"/>
        <w:spacing w:line="560" w:lineRule="exact"/>
        <w:ind w:firstLine="640"/>
        <w:rPr>
          <w:rFonts w:ascii="仿宋_GB2312" w:hAnsi="宋体"/>
          <w:szCs w:val="28"/>
        </w:rPr>
      </w:pPr>
      <w:r>
        <w:rPr>
          <w:rFonts w:hint="eastAsia" w:ascii="仿宋_GB2312" w:hAnsi="宋体"/>
          <w:szCs w:val="28"/>
        </w:rPr>
        <w:t>饮食文化作为一种地方文化，能够得到传承发扬，与经济发展密切相关。伴随着横县经济的快速发展，鱼生文化也开始向着健康化、市场化的方向发展，成为当地独特文化资源，为推动地方饮食行业发展做出贡献。在淡水养殖业发展基础上，鱼生市场逐步形成，鱼生饭店、鱼生餐馆纷纷出现，促使鱼生制作行业逐步发展壮大。随着人民生活水平不断提升，对食品安全提出了更高的要求。面对食用鱼生也有各种负面报道，为保证特色鱼生文化得到发展，横县相关部门制定了鱼生制作技艺保护计划，明确各责任主体。通过各方的努力，鱼生文化习俗将得到了很好保留，在满足横县人食鱼生需求的同时，带动了地区经济的发展，成为了当地备受推崇的特色文化。然而，随着市场需求的增加，鱼生行业在原料采购、加工制作、</w:t>
      </w:r>
      <w:r>
        <w:rPr>
          <w:rFonts w:hint="eastAsia" w:ascii="仿宋_GB2312" w:hAnsi="宋体"/>
          <w:szCs w:val="28"/>
          <w:lang w:eastAsia="zh-CN"/>
        </w:rPr>
        <w:t>餐饮服务</w:t>
      </w:r>
      <w:r>
        <w:rPr>
          <w:rFonts w:hint="eastAsia" w:ascii="仿宋_GB2312" w:hAnsi="宋体"/>
          <w:szCs w:val="28"/>
        </w:rPr>
        <w:t>等环节存在一定的安全隐患和管理漏洞。为确保横县鱼生的食品安全和质量，提升行业整体水平，制定一套全链条管理规范团体标准十分紧迫和必要。</w:t>
      </w:r>
    </w:p>
    <w:p w14:paraId="742755D9">
      <w:pPr>
        <w:autoSpaceDE w:val="0"/>
        <w:autoSpaceDN w:val="0"/>
        <w:adjustRightInd w:val="0"/>
        <w:spacing w:line="560" w:lineRule="exact"/>
        <w:ind w:firstLine="640"/>
        <w:rPr>
          <w:rFonts w:ascii="仿宋_GB2312" w:hAnsi="宋体"/>
          <w:szCs w:val="28"/>
        </w:rPr>
      </w:pPr>
      <w:r>
        <w:rPr>
          <w:rFonts w:hint="eastAsia" w:ascii="仿宋_GB2312" w:hAnsi="宋体"/>
          <w:szCs w:val="28"/>
        </w:rPr>
        <w:t>横县鱼生全链条管理规范团体标准的制定和实施，将有助于提升横县鱼生的食品安全和质量，推动行业的规范化、规模化发展。通过全链条的标准化管理，横县鱼生将能够在激烈的市场竞争中脱颖而出，成为消费者信赖的品牌。</w:t>
      </w:r>
    </w:p>
    <w:p w14:paraId="5741499E">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三、主要起草过程</w:t>
      </w:r>
    </w:p>
    <w:p w14:paraId="42036B4B">
      <w:pPr>
        <w:spacing w:line="560" w:lineRule="exact"/>
        <w:ind w:firstLine="643"/>
        <w:rPr>
          <w:rFonts w:ascii="楷体" w:hAnsi="楷体" w:eastAsia="楷体"/>
          <w:szCs w:val="28"/>
        </w:rPr>
      </w:pPr>
      <w:r>
        <w:rPr>
          <w:rFonts w:hint="eastAsia" w:ascii="楷体" w:hAnsi="楷体" w:eastAsia="楷体" w:cs="仿宋_GB2312"/>
          <w:b/>
          <w:szCs w:val="28"/>
        </w:rPr>
        <w:t>（一）成立标准编制工作组</w:t>
      </w:r>
    </w:p>
    <w:p w14:paraId="0C423A2C">
      <w:pPr>
        <w:ind w:firstLine="640"/>
      </w:pPr>
      <w:r>
        <w:rPr>
          <w:rFonts w:hint="eastAsia" w:ascii="仿宋_GB2312" w:hAnsi="宋体"/>
          <w:szCs w:val="28"/>
        </w:rPr>
        <w:t>团体标准《</w:t>
      </w:r>
      <w:r>
        <w:rPr>
          <w:rFonts w:hint="eastAsia" w:ascii="仿宋_GB2312" w:hAnsi="宋体"/>
          <w:szCs w:val="28"/>
          <w:lang w:eastAsia="zh-CN"/>
        </w:rPr>
        <w:t>横县鱼生全链条管理规范  第4部分：餐饮服务</w:t>
      </w:r>
      <w:r>
        <w:rPr>
          <w:rFonts w:hint="eastAsia" w:ascii="仿宋_GB2312" w:hAnsi="宋体"/>
          <w:szCs w:val="28"/>
        </w:rPr>
        <w:t>》项目任务下达后，</w:t>
      </w:r>
      <w:r>
        <w:rPr>
          <w:rFonts w:hint="eastAsia" w:ascii="仿宋_GB2312" w:hAnsi="宋体"/>
          <w:szCs w:val="28"/>
          <w:lang w:val="en-US" w:eastAsia="zh-CN"/>
        </w:rPr>
        <w:t>南宁市市场监督管理信息中心、广西营养学会、横县安仔鱼生店、广西渔老表餐饮有限公司、南宁市横县鸿翔泉水鱼生态养殖有限公司、广西桂之渔农业科技有限公司、南宁市金渔水产有限公司</w:t>
      </w:r>
      <w:r>
        <w:rPr>
          <w:rFonts w:hint="eastAsia" w:ascii="仿宋_GB2312" w:hAnsi="宋体"/>
          <w:szCs w:val="28"/>
        </w:rPr>
        <w:t>等成立了标准编制工作组，起草单位制定了起草编写方案与进度安排，明确任务职责，确定工作技术路线，开展标准研制工作。具体标准编制工作由</w:t>
      </w:r>
      <w:r>
        <w:rPr>
          <w:rFonts w:hint="eastAsia" w:ascii="仿宋_GB2312" w:hAnsi="宋体"/>
          <w:szCs w:val="28"/>
          <w:lang w:val="en-US" w:eastAsia="zh-CN"/>
        </w:rPr>
        <w:t>南宁市市场监督管理信息中心、广西营养学会、横县安仔鱼生店、广西渔老表餐饮有限公司、南宁市横县鸿翔泉水鱼生态养殖有限公司、广西桂之渔农业科技有限公司、南宁市金渔水产有限公司</w:t>
      </w:r>
      <w:r>
        <w:rPr>
          <w:rFonts w:hint="eastAsia" w:ascii="宋体" w:hAnsi="宋体"/>
        </w:rPr>
        <w:t>等</w:t>
      </w:r>
      <w:r>
        <w:rPr>
          <w:rFonts w:hint="eastAsia" w:ascii="仿宋_GB2312" w:hAnsi="宋体"/>
          <w:szCs w:val="28"/>
        </w:rPr>
        <w:t>单位负责人组成的标准编制工作组完成。</w:t>
      </w:r>
    </w:p>
    <w:p w14:paraId="614455EE">
      <w:pPr>
        <w:ind w:firstLine="640"/>
        <w:rPr>
          <w:rFonts w:ascii="仿宋_GB2312" w:hAnsi="宋体"/>
          <w:szCs w:val="28"/>
        </w:rPr>
      </w:pPr>
      <w:r>
        <w:rPr>
          <w:rFonts w:hint="eastAsia" w:ascii="仿宋_GB2312" w:hAnsi="宋体"/>
          <w:szCs w:val="28"/>
        </w:rPr>
        <w:t>编制工作组下设三个组，分别是资料收集组、草案编写组、标准实施组。</w:t>
      </w:r>
    </w:p>
    <w:p w14:paraId="77BBD14B">
      <w:pPr>
        <w:ind w:firstLine="640"/>
        <w:rPr>
          <w:rFonts w:ascii="仿宋_GB2312" w:hAnsi="宋体"/>
          <w:szCs w:val="28"/>
        </w:rPr>
      </w:pPr>
      <w:r>
        <w:rPr>
          <w:rFonts w:hint="eastAsia" w:ascii="仿宋_GB2312" w:hAnsi="宋体"/>
          <w:szCs w:val="28"/>
        </w:rPr>
        <w:t>资料收集组负责国内外有关横县鱼生</w:t>
      </w:r>
      <w:r>
        <w:rPr>
          <w:rFonts w:hint="eastAsia" w:ascii="仿宋_GB2312" w:hAnsi="宋体"/>
          <w:szCs w:val="28"/>
          <w:lang w:eastAsia="zh-CN"/>
        </w:rPr>
        <w:t>餐饮服务</w:t>
      </w:r>
      <w:r>
        <w:rPr>
          <w:rFonts w:hint="eastAsia" w:ascii="仿宋_GB2312" w:hAnsi="宋体"/>
          <w:szCs w:val="28"/>
        </w:rPr>
        <w:t>的文献资料的查询、收集和整理工作，查阅前人对横县鱼生</w:t>
      </w:r>
      <w:r>
        <w:rPr>
          <w:rFonts w:hint="eastAsia" w:ascii="仿宋_GB2312" w:hAnsi="宋体"/>
          <w:szCs w:val="28"/>
          <w:lang w:eastAsia="zh-CN"/>
        </w:rPr>
        <w:t>餐饮服务</w:t>
      </w:r>
      <w:r>
        <w:rPr>
          <w:rFonts w:hint="eastAsia" w:ascii="仿宋_GB2312" w:hAnsi="宋体"/>
          <w:szCs w:val="28"/>
        </w:rPr>
        <w:t>的研究情况。</w:t>
      </w:r>
    </w:p>
    <w:p w14:paraId="3D8EDCA3">
      <w:pPr>
        <w:ind w:firstLine="640"/>
        <w:rPr>
          <w:rFonts w:ascii="仿宋_GB2312" w:hAnsi="宋体"/>
          <w:szCs w:val="28"/>
        </w:rPr>
      </w:pPr>
      <w:r>
        <w:rPr>
          <w:rFonts w:hint="eastAsia" w:ascii="仿宋_GB2312" w:hAnsi="宋体"/>
          <w:szCs w:val="28"/>
        </w:rPr>
        <w:t>草案编写组负责起草标准草案、征求意见稿和标准编制说明、送审稿及编制说明的编写工作，包括后期召开征求意见会、网上征求意见，以及标准的不断修改和完善。</w:t>
      </w:r>
    </w:p>
    <w:p w14:paraId="3448F212">
      <w:pPr>
        <w:ind w:firstLine="640"/>
        <w:rPr>
          <w:rFonts w:ascii="仿宋_GB2312" w:hAnsi="宋体"/>
          <w:szCs w:val="28"/>
        </w:rPr>
      </w:pPr>
      <w:r>
        <w:rPr>
          <w:rFonts w:hint="eastAsia" w:ascii="仿宋_GB2312" w:hAnsi="宋体"/>
          <w:szCs w:val="28"/>
        </w:rPr>
        <w:t>标准实施组负责团体标准《</w:t>
      </w:r>
      <w:r>
        <w:rPr>
          <w:rFonts w:hint="eastAsia" w:ascii="仿宋_GB2312" w:hAnsi="宋体"/>
          <w:szCs w:val="28"/>
          <w:lang w:eastAsia="zh-CN"/>
        </w:rPr>
        <w:t>横县鱼生全链条管理规范  第4部分：餐饮服务</w:t>
      </w:r>
      <w:r>
        <w:rPr>
          <w:rFonts w:hint="eastAsia" w:ascii="仿宋_GB2312" w:hAnsi="宋体"/>
          <w:szCs w:val="28"/>
        </w:rPr>
        <w:t>》发布后，组织相关单位开展标准宣贯培训会，对标准进行详细解读，让相关人员了解标准，并根据标准对横县鱼生</w:t>
      </w:r>
      <w:r>
        <w:rPr>
          <w:rFonts w:hint="eastAsia" w:ascii="仿宋_GB2312" w:hAnsi="宋体"/>
          <w:szCs w:val="28"/>
          <w:lang w:eastAsia="zh-CN"/>
        </w:rPr>
        <w:t>餐饮服务</w:t>
      </w:r>
      <w:r>
        <w:rPr>
          <w:rFonts w:hint="eastAsia" w:ascii="仿宋_GB2312" w:hAnsi="宋体"/>
          <w:szCs w:val="28"/>
        </w:rPr>
        <w:t>进行规范化操作，并对标准实施情况进行总结分析，不断对团体标准提出修正意见。</w:t>
      </w:r>
    </w:p>
    <w:p w14:paraId="4C0E5A57">
      <w:pPr>
        <w:spacing w:line="560" w:lineRule="exact"/>
        <w:ind w:firstLine="643"/>
        <w:rPr>
          <w:rFonts w:ascii="楷体" w:hAnsi="楷体" w:eastAsia="楷体" w:cs="仿宋_GB2312"/>
          <w:b/>
          <w:szCs w:val="28"/>
        </w:rPr>
      </w:pPr>
      <w:r>
        <w:rPr>
          <w:rFonts w:hint="eastAsia" w:ascii="楷体" w:hAnsi="楷体" w:eastAsia="楷体" w:cs="仿宋_GB2312"/>
          <w:b/>
          <w:szCs w:val="28"/>
        </w:rPr>
        <w:t>（二）收集整理文献资料</w:t>
      </w:r>
    </w:p>
    <w:p w14:paraId="7BBFD58F">
      <w:pPr>
        <w:ind w:firstLine="640"/>
        <w:rPr>
          <w:rFonts w:hint="eastAsia" w:ascii="仿宋_GB2312" w:hAnsi="宋体"/>
          <w:szCs w:val="28"/>
        </w:rPr>
      </w:pPr>
      <w:r>
        <w:rPr>
          <w:rFonts w:hint="eastAsia" w:ascii="仿宋_GB2312" w:hAnsi="宋体"/>
          <w:szCs w:val="28"/>
        </w:rPr>
        <w:t>标准编制工作组收集了国内有关鱼生</w:t>
      </w:r>
      <w:r>
        <w:rPr>
          <w:rFonts w:hint="eastAsia" w:ascii="仿宋_GB2312" w:hAnsi="宋体"/>
          <w:szCs w:val="28"/>
          <w:lang w:eastAsia="zh-CN"/>
        </w:rPr>
        <w:t>餐饮服务</w:t>
      </w:r>
      <w:r>
        <w:rPr>
          <w:rFonts w:hint="eastAsia" w:ascii="仿宋_GB2312" w:hAnsi="宋体"/>
          <w:szCs w:val="28"/>
        </w:rPr>
        <w:t>相关资料。主要有</w:t>
      </w:r>
      <w:r>
        <w:rPr>
          <w:rFonts w:hint="eastAsia" w:ascii="仿宋_GB2312" w:hAnsi="宋体"/>
          <w:szCs w:val="28"/>
          <w:lang w:val="fr-FR"/>
        </w:rPr>
        <w:t>：</w:t>
      </w:r>
    </w:p>
    <w:p w14:paraId="651C36F2">
      <w:pPr>
        <w:spacing w:line="560" w:lineRule="exact"/>
        <w:ind w:firstLine="640"/>
        <w:rPr>
          <w:rFonts w:hint="eastAsia" w:ascii="仿宋_GB2312" w:hAnsi="宋体"/>
          <w:szCs w:val="28"/>
        </w:rPr>
      </w:pPr>
      <w:r>
        <w:rPr>
          <w:rFonts w:hint="eastAsia" w:ascii="仿宋_GB2312" w:hAnsi="宋体"/>
          <w:szCs w:val="28"/>
        </w:rPr>
        <w:t>GB 14934  食品安全国家标准  消毒餐（饮）具</w:t>
      </w:r>
    </w:p>
    <w:p w14:paraId="73F7340E">
      <w:pPr>
        <w:spacing w:line="560" w:lineRule="exact"/>
        <w:ind w:firstLine="640"/>
        <w:rPr>
          <w:rFonts w:hint="eastAsia" w:ascii="仿宋_GB2312" w:hAnsi="宋体"/>
          <w:szCs w:val="28"/>
        </w:rPr>
      </w:pPr>
      <w:r>
        <w:rPr>
          <w:rFonts w:hint="eastAsia" w:ascii="仿宋_GB2312" w:hAnsi="宋体"/>
          <w:szCs w:val="28"/>
        </w:rPr>
        <w:t>GB 31654  食品安全国家标准  餐饮服务通用卫生规范</w:t>
      </w:r>
    </w:p>
    <w:p w14:paraId="08ADBE1B">
      <w:pPr>
        <w:spacing w:line="560" w:lineRule="exact"/>
        <w:ind w:firstLine="640"/>
        <w:rPr>
          <w:rFonts w:hint="eastAsia" w:ascii="仿宋_GB2312" w:hAnsi="宋体"/>
          <w:szCs w:val="28"/>
        </w:rPr>
      </w:pPr>
      <w:r>
        <w:rPr>
          <w:rFonts w:hint="eastAsia" w:ascii="仿宋_GB2312" w:hAnsi="宋体"/>
          <w:szCs w:val="28"/>
        </w:rPr>
        <w:t>GB/T 40042  绿色餐饮经营与管理</w:t>
      </w:r>
    </w:p>
    <w:p w14:paraId="5F3EE957">
      <w:pPr>
        <w:spacing w:line="560" w:lineRule="exact"/>
        <w:ind w:firstLine="640"/>
        <w:rPr>
          <w:rFonts w:hint="eastAsia" w:ascii="仿宋_GB2312" w:hAnsi="宋体"/>
          <w:szCs w:val="28"/>
        </w:rPr>
      </w:pPr>
      <w:r>
        <w:rPr>
          <w:rFonts w:hint="eastAsia" w:ascii="仿宋_GB2312" w:hAnsi="宋体"/>
          <w:szCs w:val="28"/>
        </w:rPr>
        <w:t>DB45/T 1817  横县鱼生制作技术规范</w:t>
      </w:r>
    </w:p>
    <w:p w14:paraId="06719181">
      <w:pPr>
        <w:spacing w:line="560" w:lineRule="exact"/>
        <w:ind w:firstLine="640"/>
        <w:rPr>
          <w:rFonts w:hint="eastAsia" w:ascii="仿宋_GB2312" w:hAnsi="宋体"/>
          <w:szCs w:val="28"/>
        </w:rPr>
      </w:pPr>
      <w:r>
        <w:rPr>
          <w:rFonts w:hint="eastAsia" w:ascii="仿宋_GB2312" w:hAnsi="宋体"/>
          <w:szCs w:val="28"/>
        </w:rPr>
        <w:t>T/GXYYXH 0001.3  横县鱼生全链条管理规范  第3部分：加工制作</w:t>
      </w:r>
    </w:p>
    <w:p w14:paraId="38E56213">
      <w:pPr>
        <w:spacing w:line="560" w:lineRule="exact"/>
        <w:ind w:firstLine="640"/>
        <w:rPr>
          <w:rFonts w:hint="eastAsia" w:ascii="仿宋_GB2312" w:hAnsi="宋体"/>
          <w:szCs w:val="28"/>
        </w:rPr>
      </w:pPr>
      <w:r>
        <w:rPr>
          <w:rFonts w:hint="eastAsia" w:ascii="仿宋_GB2312" w:hAnsi="宋体"/>
          <w:szCs w:val="28"/>
        </w:rPr>
        <w:t>T/GXYYXH 0001.5  横县鱼生全链条管理规范  第5部分：供应链管理</w:t>
      </w:r>
    </w:p>
    <w:p w14:paraId="5C0EC678">
      <w:pPr>
        <w:spacing w:line="560" w:lineRule="exact"/>
        <w:ind w:firstLine="643"/>
        <w:rPr>
          <w:rFonts w:ascii="楷体" w:hAnsi="楷体" w:eastAsia="楷体" w:cs="仿宋_GB2312"/>
          <w:b/>
          <w:szCs w:val="28"/>
        </w:rPr>
      </w:pPr>
      <w:r>
        <w:rPr>
          <w:rFonts w:hint="eastAsia" w:ascii="楷体" w:hAnsi="楷体" w:eastAsia="楷体" w:cs="仿宋_GB2312"/>
          <w:b/>
          <w:szCs w:val="28"/>
        </w:rPr>
        <w:t>（三）研讨确定标准特色、创新点和主要内容</w:t>
      </w:r>
    </w:p>
    <w:p w14:paraId="71F85903">
      <w:pPr>
        <w:spacing w:line="560" w:lineRule="exact"/>
        <w:ind w:firstLine="640"/>
        <w:rPr>
          <w:rFonts w:hint="eastAsia" w:ascii="仿宋_GB2312" w:hAnsi="宋体"/>
          <w:color w:val="000000" w:themeColor="text1"/>
          <w:szCs w:val="28"/>
          <w:highlight w:val="yellow"/>
          <w14:textFill>
            <w14:solidFill>
              <w14:schemeClr w14:val="tx1"/>
            </w14:solidFill>
          </w14:textFill>
        </w:rPr>
      </w:pPr>
      <w:r>
        <w:rPr>
          <w:rFonts w:hint="eastAsia" w:ascii="仿宋_GB2312" w:hAnsi="宋体"/>
          <w:szCs w:val="28"/>
        </w:rPr>
        <w:t>标准编制工作组在对收集的资料进行整理研究之后，2025年5月，标准编制工作组召开了标准编制会议，对标准的整体框架结构进行了研究，并对标准的关键性内容进行了初步探讨。经过研究</w:t>
      </w:r>
      <w:r>
        <w:rPr>
          <w:rFonts w:hint="eastAsia" w:ascii="仿宋_GB2312" w:hAnsi="宋体"/>
          <w:szCs w:val="28"/>
          <w:highlight w:val="none"/>
        </w:rPr>
        <w:t>，标准的主体内容确定为</w:t>
      </w:r>
      <w:bookmarkStart w:id="0" w:name="OLE_LINK3"/>
      <w:bookmarkStart w:id="1" w:name="OLE_LINK4"/>
      <w:r>
        <w:rPr>
          <w:rFonts w:hint="eastAsia" w:ascii="仿宋_GB2312" w:hAnsi="宋体"/>
          <w:color w:val="000000" w:themeColor="text1"/>
          <w:szCs w:val="28"/>
          <w:highlight w:val="none"/>
          <w14:textFill>
            <w14:solidFill>
              <w14:schemeClr w14:val="tx1"/>
            </w14:solidFill>
          </w14:textFill>
        </w:rPr>
        <w:t>术语定义、</w:t>
      </w:r>
      <w:bookmarkEnd w:id="0"/>
      <w:bookmarkEnd w:id="1"/>
      <w:r>
        <w:rPr>
          <w:rFonts w:hint="eastAsia" w:ascii="仿宋_GB2312" w:hAnsi="宋体"/>
          <w:color w:val="000000" w:themeColor="text1"/>
          <w:szCs w:val="28"/>
          <w:highlight w:val="none"/>
          <w14:textFill>
            <w14:solidFill>
              <w14:schemeClr w14:val="tx1"/>
            </w14:solidFill>
          </w14:textFill>
        </w:rPr>
        <w:t>。标准的核心技术及创新点在于：</w:t>
      </w:r>
    </w:p>
    <w:p w14:paraId="4680C4B6">
      <w:pPr>
        <w:spacing w:line="560" w:lineRule="exact"/>
        <w:ind w:firstLine="640"/>
        <w:rPr>
          <w:rFonts w:hint="eastAsia" w:ascii="仿宋_GB2312" w:hAnsi="宋体"/>
          <w:szCs w:val="28"/>
        </w:rPr>
      </w:pPr>
      <w:r>
        <w:rPr>
          <w:rFonts w:hint="eastAsia" w:ascii="仿宋_GB2312" w:hAnsi="宋体"/>
          <w:szCs w:val="28"/>
        </w:rPr>
        <w:t>针对横县鱼生餐饮店能提供的服务内容及服务要求，内容上突出横县鱼生美食非遗文化，以及介绍、示范吃法等等；新增了在堂食和外卖等服务上结合鱼生要求等特点进行了规定；</w:t>
      </w:r>
    </w:p>
    <w:p w14:paraId="3461ADCE">
      <w:pPr>
        <w:tabs>
          <w:tab w:val="center" w:pos="4201"/>
          <w:tab w:val="right" w:leader="dot" w:pos="9298"/>
        </w:tabs>
        <w:autoSpaceDE w:val="0"/>
        <w:autoSpaceDN w:val="0"/>
        <w:ind w:firstLine="640"/>
        <w:outlineLvl w:val="2"/>
        <w:rPr>
          <w:rFonts w:hint="default" w:eastAsia="仿宋"/>
          <w:bCs/>
          <w:kern w:val="0"/>
          <w:szCs w:val="32"/>
          <w:highlight w:val="none"/>
          <w:lang w:val="en-US" w:eastAsia="zh-CN"/>
        </w:rPr>
      </w:pPr>
      <w:r>
        <w:rPr>
          <w:rFonts w:hint="eastAsia" w:eastAsia="仿宋"/>
          <w:bCs/>
          <w:kern w:val="0"/>
          <w:szCs w:val="32"/>
          <w:highlight w:val="none"/>
          <w:lang w:eastAsia="zh-CN"/>
        </w:rPr>
        <w:t>（</w:t>
      </w:r>
      <w:r>
        <w:rPr>
          <w:rFonts w:hint="eastAsia" w:eastAsia="仿宋"/>
          <w:bCs/>
          <w:kern w:val="0"/>
          <w:szCs w:val="32"/>
          <w:highlight w:val="none"/>
          <w:lang w:val="en-US" w:eastAsia="zh-CN"/>
        </w:rPr>
        <w:t>1</w:t>
      </w:r>
      <w:r>
        <w:rPr>
          <w:rFonts w:hint="eastAsia" w:eastAsia="仿宋"/>
          <w:bCs/>
          <w:kern w:val="0"/>
          <w:szCs w:val="32"/>
          <w:highlight w:val="none"/>
          <w:lang w:eastAsia="zh-CN"/>
        </w:rPr>
        <w:t>）</w:t>
      </w:r>
      <w:r>
        <w:rPr>
          <w:rFonts w:hint="eastAsia" w:eastAsia="仿宋"/>
          <w:bCs/>
          <w:kern w:val="0"/>
          <w:szCs w:val="32"/>
          <w:highlight w:val="none"/>
          <w:lang w:val="en-US" w:eastAsia="zh-CN"/>
        </w:rPr>
        <w:t>在餐饮服务中给顾客提供沉浸式文化体验和非遗技艺呈现，标准建议服务员“宜穿着具有壮族特色的服装或绣有横县鱼生图案等体现地方文化特色的服饰。”要求设立文化展示区，内容需涵盖历史渊源、制作工艺、文化传承。此外，服务员在点餐、上菜环节主动介绍鱼生历史、习俗和养生文化，并主动征询顾客是否需要现场吃法演示，将服务互动升级为文化传授和技艺呈现，极大提升了用餐的仪式感和体验价值。</w:t>
      </w:r>
    </w:p>
    <w:p w14:paraId="3E105A7E">
      <w:pPr>
        <w:tabs>
          <w:tab w:val="center" w:pos="4201"/>
          <w:tab w:val="right" w:leader="dot" w:pos="9298"/>
        </w:tabs>
        <w:autoSpaceDE w:val="0"/>
        <w:autoSpaceDN w:val="0"/>
        <w:ind w:firstLine="640"/>
        <w:outlineLvl w:val="2"/>
        <w:rPr>
          <w:rFonts w:hint="eastAsia" w:eastAsia="仿宋"/>
          <w:bCs/>
          <w:kern w:val="0"/>
          <w:szCs w:val="32"/>
          <w:highlight w:val="none"/>
        </w:rPr>
      </w:pPr>
      <w:r>
        <w:rPr>
          <w:rFonts w:hint="eastAsia" w:eastAsia="仿宋"/>
          <w:bCs/>
          <w:kern w:val="0"/>
          <w:szCs w:val="32"/>
          <w:highlight w:val="none"/>
          <w:lang w:eastAsia="zh-CN"/>
        </w:rPr>
        <w:t>（</w:t>
      </w:r>
      <w:r>
        <w:rPr>
          <w:rFonts w:hint="eastAsia" w:eastAsia="仿宋"/>
          <w:bCs/>
          <w:kern w:val="0"/>
          <w:szCs w:val="32"/>
          <w:highlight w:val="none"/>
          <w:lang w:val="en-US" w:eastAsia="zh-CN"/>
        </w:rPr>
        <w:t>2</w:t>
      </w:r>
      <w:r>
        <w:rPr>
          <w:rFonts w:hint="eastAsia" w:eastAsia="仿宋"/>
          <w:bCs/>
          <w:kern w:val="0"/>
          <w:szCs w:val="32"/>
          <w:highlight w:val="none"/>
          <w:lang w:eastAsia="zh-CN"/>
        </w:rPr>
        <w:t>）</w:t>
      </w:r>
      <w:r>
        <w:rPr>
          <w:rFonts w:hint="eastAsia" w:eastAsia="仿宋"/>
          <w:bCs/>
          <w:kern w:val="0"/>
          <w:szCs w:val="32"/>
          <w:highlight w:val="none"/>
        </w:rPr>
        <w:t>将中医“九大体质”学说与地方美食的二十余种特色辅料（青料、酸料）进行系统性配伍研究，并转化为可落地执行的服务指南（附录C、D）。首先，在附录C中科学界定了每一种辅料（如假蒌、辣蓼、酸荞头）的“性味与主要功效”和“风味特点”，为适配提供理论依据。</w:t>
      </w:r>
      <w:r>
        <w:rPr>
          <w:rFonts w:hint="eastAsia" w:eastAsia="仿宋"/>
          <w:bCs/>
          <w:kern w:val="0"/>
          <w:szCs w:val="32"/>
          <w:highlight w:val="none"/>
          <w:lang w:val="en-US" w:eastAsia="zh-CN"/>
        </w:rPr>
        <w:t>此外</w:t>
      </w:r>
      <w:r>
        <w:rPr>
          <w:rFonts w:hint="eastAsia" w:eastAsia="仿宋"/>
          <w:bCs/>
          <w:kern w:val="0"/>
          <w:szCs w:val="32"/>
          <w:highlight w:val="none"/>
        </w:rPr>
        <w:t>，在附录D创建了《横县鱼生辅料搭配体质适配指南》，为不同体质（如阳虚畏冷、湿热长痘、特禀过敏等）提供个性化的“推荐”与“禁忌”方案。例如，推荐“阳虚质”顾客搭配假蒌、山姜以温中散寒，禁忌“阴虚质”顾客食用辣椒、蒜头以免加重燥热。将餐饮服务从“顾客任意搭配”提升为“基于科学指导的个性化健康推荐”，赋予了传统美食现代营养健康学的价值内核。</w:t>
      </w:r>
    </w:p>
    <w:p w14:paraId="3ADEB9FB">
      <w:pPr>
        <w:tabs>
          <w:tab w:val="center" w:pos="4201"/>
          <w:tab w:val="right" w:leader="dot" w:pos="9298"/>
        </w:tabs>
        <w:autoSpaceDE w:val="0"/>
        <w:autoSpaceDN w:val="0"/>
        <w:ind w:firstLine="640"/>
        <w:outlineLvl w:val="2"/>
        <w:rPr>
          <w:rFonts w:hint="default" w:eastAsia="仿宋"/>
          <w:bCs/>
          <w:kern w:val="0"/>
          <w:szCs w:val="32"/>
          <w:highlight w:val="none"/>
          <w:lang w:val="en-US" w:eastAsia="zh-CN"/>
        </w:rPr>
      </w:pPr>
      <w:r>
        <w:rPr>
          <w:rFonts w:hint="eastAsia" w:eastAsia="仿宋"/>
          <w:bCs/>
          <w:kern w:val="0"/>
          <w:szCs w:val="32"/>
          <w:highlight w:val="none"/>
          <w:lang w:eastAsia="zh-CN"/>
        </w:rPr>
        <w:t>（</w:t>
      </w:r>
      <w:r>
        <w:rPr>
          <w:rFonts w:hint="eastAsia" w:eastAsia="仿宋"/>
          <w:bCs/>
          <w:kern w:val="0"/>
          <w:szCs w:val="32"/>
          <w:highlight w:val="none"/>
          <w:lang w:val="en-US" w:eastAsia="zh-CN"/>
        </w:rPr>
        <w:t>3</w:t>
      </w:r>
      <w:r>
        <w:rPr>
          <w:rFonts w:hint="eastAsia" w:eastAsia="仿宋"/>
          <w:bCs/>
          <w:kern w:val="0"/>
          <w:szCs w:val="32"/>
          <w:highlight w:val="none"/>
          <w:lang w:eastAsia="zh-CN"/>
        </w:rPr>
        <w:t>）</w:t>
      </w:r>
      <w:r>
        <w:rPr>
          <w:rFonts w:hint="eastAsia" w:eastAsia="仿宋"/>
          <w:bCs/>
          <w:kern w:val="0"/>
          <w:szCs w:val="32"/>
          <w:highlight w:val="none"/>
        </w:rPr>
        <w:t>将健康饮食指导从被动咨询变为主动服务，贯穿点餐、用餐全过程。要求服务员在点餐时根据顾客人数科学建议用量（6.1.2），并在上菜后主动介绍“养生功效”（6.2.2）。</w:t>
      </w:r>
      <w:r>
        <w:rPr>
          <w:rFonts w:hint="eastAsia" w:eastAsia="仿宋"/>
          <w:bCs/>
          <w:kern w:val="0"/>
          <w:szCs w:val="32"/>
          <w:highlight w:val="none"/>
          <w:lang w:val="en-US" w:eastAsia="zh-CN"/>
        </w:rPr>
        <w:t>此外提供了满意度调查表（附录E），</w:t>
      </w:r>
      <w:r>
        <w:rPr>
          <w:rFonts w:hint="eastAsia" w:eastAsia="仿宋"/>
          <w:bCs/>
          <w:kern w:val="0"/>
          <w:szCs w:val="32"/>
          <w:highlight w:val="none"/>
        </w:rPr>
        <w:t>强调顾客从进店到离店的各个环节，应关注在食材的味觉、服务、环境、氛围等多个环节提升顾客的满意度</w:t>
      </w:r>
      <w:r>
        <w:rPr>
          <w:rFonts w:hint="eastAsia" w:eastAsia="仿宋"/>
          <w:bCs/>
          <w:kern w:val="0"/>
          <w:szCs w:val="32"/>
          <w:highlight w:val="none"/>
          <w:lang w:eastAsia="zh-CN"/>
        </w:rPr>
        <w:t>，</w:t>
      </w:r>
      <w:r>
        <w:rPr>
          <w:rFonts w:hint="eastAsia" w:eastAsia="仿宋"/>
          <w:bCs/>
          <w:kern w:val="0"/>
          <w:szCs w:val="32"/>
          <w:highlight w:val="none"/>
          <w:lang w:val="en-US" w:eastAsia="zh-CN"/>
        </w:rPr>
        <w:t>进行持续的改进。</w:t>
      </w:r>
    </w:p>
    <w:p w14:paraId="08C03F88">
      <w:pPr>
        <w:spacing w:line="560" w:lineRule="exact"/>
        <w:ind w:firstLine="643"/>
        <w:rPr>
          <w:rFonts w:ascii="楷体" w:hAnsi="楷体" w:eastAsia="楷体" w:cs="仿宋_GB2312"/>
          <w:b/>
          <w:szCs w:val="28"/>
        </w:rPr>
      </w:pPr>
      <w:r>
        <w:rPr>
          <w:rFonts w:hint="eastAsia" w:ascii="楷体" w:hAnsi="楷体" w:eastAsia="楷体" w:cs="仿宋_GB2312"/>
          <w:b/>
          <w:szCs w:val="28"/>
        </w:rPr>
        <w:t>（四）调研及形成草案、征求意见稿</w:t>
      </w:r>
    </w:p>
    <w:p w14:paraId="028F2B5A">
      <w:pPr>
        <w:ind w:firstLine="640"/>
        <w:rPr>
          <w:rFonts w:ascii="仿宋_GB2312" w:hAnsi="宋体"/>
          <w:szCs w:val="28"/>
        </w:rPr>
      </w:pPr>
      <w:r>
        <w:rPr>
          <w:rFonts w:hint="eastAsia" w:ascii="仿宋_GB2312" w:hAnsi="宋体"/>
          <w:szCs w:val="28"/>
        </w:rPr>
        <w:t>2025年5月，标准起草工作小组到广西余师傅餐饮有限公司、横县安仔鱼生店、广西渔老表餐饮有限公司、南宁市横县鸿翔泉水鱼生态养殖有限公司、广西桂之渔农业科技有限公司、南宁市金渔水产有限公司等企业进行了广泛调研工作，查阅了大量的国内外文献资料，对横县鱼生</w:t>
      </w:r>
      <w:r>
        <w:rPr>
          <w:rFonts w:hint="eastAsia" w:ascii="仿宋_GB2312" w:hAnsi="宋体"/>
          <w:szCs w:val="28"/>
          <w:lang w:eastAsia="zh-CN"/>
        </w:rPr>
        <w:t>餐饮服务</w:t>
      </w:r>
      <w:r>
        <w:rPr>
          <w:rFonts w:hint="eastAsia" w:ascii="仿宋_GB2312" w:hAnsi="宋体"/>
          <w:szCs w:val="28"/>
        </w:rPr>
        <w:t>的前人研究成果进行系统总结。形成了标准的基本构架，对主要内容进行了讨论并对项目的工作进行了部署和安排。</w:t>
      </w:r>
    </w:p>
    <w:p w14:paraId="1C077B7C">
      <w:pPr>
        <w:ind w:firstLine="640"/>
        <w:rPr>
          <w:rFonts w:ascii="仿宋_GB2312" w:hAnsi="宋体"/>
          <w:szCs w:val="28"/>
        </w:rPr>
      </w:pPr>
      <w:r>
        <w:rPr>
          <w:rFonts w:hint="eastAsia" w:ascii="仿宋_GB2312" w:hAnsi="宋体"/>
          <w:szCs w:val="28"/>
        </w:rPr>
        <w:t>2025年6月，在前期工作的基础之上，通过理清逻辑脉络，整合已有的参考资料中有关横县鱼生</w:t>
      </w:r>
      <w:r>
        <w:rPr>
          <w:rFonts w:hint="eastAsia" w:ascii="仿宋_GB2312" w:hAnsi="宋体"/>
          <w:szCs w:val="28"/>
          <w:lang w:eastAsia="zh-CN"/>
        </w:rPr>
        <w:t>餐饮服务要求</w:t>
      </w:r>
      <w:r>
        <w:rPr>
          <w:rFonts w:hint="eastAsia" w:ascii="仿宋_GB2312" w:hAnsi="宋体"/>
          <w:szCs w:val="28"/>
        </w:rPr>
        <w:t>，并结合横县鱼生</w:t>
      </w:r>
      <w:r>
        <w:rPr>
          <w:rFonts w:hint="eastAsia" w:ascii="仿宋_GB2312" w:hAnsi="宋体"/>
          <w:szCs w:val="28"/>
          <w:lang w:eastAsia="zh-CN"/>
        </w:rPr>
        <w:t>餐饮服务</w:t>
      </w:r>
      <w:r>
        <w:rPr>
          <w:rFonts w:hint="eastAsia" w:ascii="仿宋_GB2312" w:hAnsi="宋体"/>
          <w:szCs w:val="28"/>
        </w:rPr>
        <w:t>实际要求的基础上，按照简化、统一等原则编制完成团体标准《</w:t>
      </w:r>
      <w:r>
        <w:rPr>
          <w:rFonts w:hint="eastAsia" w:ascii="仿宋_GB2312" w:hAnsi="宋体"/>
          <w:szCs w:val="28"/>
          <w:lang w:eastAsia="zh-CN"/>
        </w:rPr>
        <w:t>横县鱼生全链条管理规范  第4部分：餐饮服务</w:t>
      </w:r>
      <w:r>
        <w:rPr>
          <w:rFonts w:hint="eastAsia" w:ascii="仿宋_GB2312" w:hAnsi="宋体"/>
          <w:szCs w:val="28"/>
        </w:rPr>
        <w:t>》（草案）。</w:t>
      </w:r>
    </w:p>
    <w:p w14:paraId="37DD5D6B">
      <w:pPr>
        <w:autoSpaceDE w:val="0"/>
        <w:autoSpaceDN w:val="0"/>
        <w:adjustRightInd w:val="0"/>
        <w:spacing w:line="600" w:lineRule="exact"/>
        <w:ind w:firstLine="640"/>
        <w:rPr>
          <w:rFonts w:ascii="仿宋_GB2312" w:hAnsi="宋体"/>
          <w:szCs w:val="28"/>
        </w:rPr>
      </w:pPr>
      <w:r>
        <w:rPr>
          <w:rFonts w:hint="eastAsia" w:ascii="仿宋_GB2312" w:hAnsi="宋体"/>
          <w:szCs w:val="28"/>
        </w:rPr>
        <w:t>2025年7月，标准起草工作组组织</w:t>
      </w:r>
      <w:r>
        <w:rPr>
          <w:rFonts w:hint="eastAsia" w:ascii="仿宋_GB2312" w:hAnsi="宋体"/>
          <w:szCs w:val="28"/>
          <w:lang w:val="en-US" w:eastAsia="zh-CN"/>
        </w:rPr>
        <w:t>南宁市市场监督管理信息中心、广西营养学会、横县安仔鱼生店、广西渔老表餐饮有限公司、南宁市横县鸿翔泉水鱼生态养殖有限公司、广西桂之渔农业科技有限公司、南宁市金渔水产有限公司</w:t>
      </w:r>
      <w:r>
        <w:rPr>
          <w:rFonts w:hint="eastAsia" w:ascii="仿宋_GB2312" w:hAnsi="宋体"/>
          <w:szCs w:val="28"/>
        </w:rPr>
        <w:t>等相关企业进行调研，并实际征求意见，通过收集反馈了大量意见，标准编制工作组多次召开会议，对标准草案进行了反复修改和研究讨论。进一步讨论完善标准草案，形成团体标准《</w:t>
      </w:r>
      <w:r>
        <w:rPr>
          <w:rFonts w:hint="eastAsia" w:ascii="仿宋_GB2312" w:hAnsi="宋体"/>
          <w:szCs w:val="28"/>
          <w:lang w:eastAsia="zh-CN"/>
        </w:rPr>
        <w:t>横县鱼生全链条管理规范  第4部分：餐饮服务</w:t>
      </w:r>
      <w:r>
        <w:rPr>
          <w:rFonts w:hint="eastAsia" w:ascii="仿宋_GB2312" w:hAnsi="宋体"/>
          <w:szCs w:val="28"/>
        </w:rPr>
        <w:t>》（征求意见稿）和（征求意见稿）编制说明。</w:t>
      </w:r>
    </w:p>
    <w:p w14:paraId="6E7D284B">
      <w:pPr>
        <w:autoSpaceDE w:val="0"/>
        <w:autoSpaceDN w:val="0"/>
        <w:adjustRightInd w:val="0"/>
        <w:ind w:firstLine="640"/>
        <w:jc w:val="left"/>
        <w:rPr>
          <w:rFonts w:eastAsia="黑体"/>
          <w:bCs/>
          <w:szCs w:val="32"/>
        </w:rPr>
      </w:pPr>
      <w:bookmarkStart w:id="2" w:name="_Toc526940083"/>
      <w:r>
        <w:rPr>
          <w:rFonts w:eastAsia="黑体"/>
          <w:bCs/>
          <w:szCs w:val="32"/>
        </w:rPr>
        <w:t>四、</w:t>
      </w:r>
      <w:bookmarkEnd w:id="2"/>
      <w:r>
        <w:rPr>
          <w:rFonts w:eastAsia="黑体"/>
          <w:bCs/>
          <w:szCs w:val="32"/>
        </w:rPr>
        <w:t>制定标准的原则和依据，与现行法律、法规的关系，与有关国家标准、行业标准的协调情况</w:t>
      </w:r>
    </w:p>
    <w:p w14:paraId="2DB48C5E">
      <w:pPr>
        <w:pStyle w:val="12"/>
        <w:spacing w:line="560" w:lineRule="exact"/>
        <w:ind w:firstLine="0" w:firstLineChars="0"/>
        <w:outlineLvl w:val="1"/>
        <w:rPr>
          <w:rFonts w:ascii="Times New Roman" w:eastAsia="仿宋"/>
          <w:b/>
          <w:bCs/>
          <w:sz w:val="32"/>
          <w:szCs w:val="32"/>
        </w:rPr>
      </w:pPr>
      <w:r>
        <w:rPr>
          <w:rFonts w:ascii="Times New Roman" w:eastAsia="仿宋"/>
          <w:b/>
          <w:bCs/>
          <w:sz w:val="32"/>
          <w:szCs w:val="32"/>
        </w:rPr>
        <w:t>（一）编制原则</w:t>
      </w:r>
    </w:p>
    <w:p w14:paraId="7A0BD746">
      <w:pPr>
        <w:tabs>
          <w:tab w:val="center" w:pos="4201"/>
          <w:tab w:val="right" w:leader="dot" w:pos="9298"/>
        </w:tabs>
        <w:autoSpaceDE w:val="0"/>
        <w:autoSpaceDN w:val="0"/>
        <w:ind w:firstLine="643"/>
        <w:outlineLvl w:val="2"/>
        <w:rPr>
          <w:rFonts w:eastAsia="仿宋"/>
          <w:b/>
          <w:bCs/>
          <w:kern w:val="0"/>
          <w:szCs w:val="32"/>
        </w:rPr>
      </w:pPr>
      <w:r>
        <w:rPr>
          <w:rFonts w:eastAsia="仿宋"/>
          <w:b/>
          <w:bCs/>
          <w:kern w:val="0"/>
          <w:szCs w:val="32"/>
        </w:rPr>
        <w:t>1</w:t>
      </w:r>
      <w:r>
        <w:rPr>
          <w:rFonts w:hint="eastAsia" w:eastAsia="仿宋"/>
          <w:b/>
          <w:bCs/>
          <w:kern w:val="0"/>
          <w:szCs w:val="32"/>
        </w:rPr>
        <w:t>．</w:t>
      </w:r>
      <w:r>
        <w:rPr>
          <w:rFonts w:eastAsia="仿宋"/>
          <w:b/>
          <w:bCs/>
          <w:kern w:val="0"/>
          <w:szCs w:val="32"/>
        </w:rPr>
        <w:t>实用性原则</w:t>
      </w:r>
    </w:p>
    <w:p w14:paraId="140F35F3">
      <w:pPr>
        <w:ind w:firstLine="640"/>
        <w:rPr>
          <w:rFonts w:ascii="仿宋_GB2312" w:hAnsi="宋体"/>
          <w:szCs w:val="28"/>
        </w:rPr>
      </w:pPr>
      <w:r>
        <w:rPr>
          <w:rFonts w:hint="eastAsia" w:ascii="仿宋_GB2312" w:hAnsi="宋体"/>
          <w:szCs w:val="28"/>
        </w:rPr>
        <w:t>本文件是在充分收集相关资料和文献，分析横县鱼生</w:t>
      </w:r>
      <w:r>
        <w:rPr>
          <w:rFonts w:hint="eastAsia" w:ascii="仿宋_GB2312" w:hAnsi="宋体"/>
          <w:szCs w:val="28"/>
          <w:lang w:eastAsia="zh-CN"/>
        </w:rPr>
        <w:t>餐饮服务</w:t>
      </w:r>
      <w:r>
        <w:rPr>
          <w:rFonts w:hint="eastAsia" w:ascii="仿宋_GB2312" w:hAnsi="宋体"/>
          <w:szCs w:val="28"/>
        </w:rPr>
        <w:t>当前现状，在现有相关横县鱼生</w:t>
      </w:r>
      <w:r>
        <w:rPr>
          <w:rFonts w:hint="eastAsia" w:ascii="仿宋_GB2312" w:hAnsi="宋体"/>
          <w:szCs w:val="28"/>
          <w:lang w:eastAsia="zh-CN"/>
        </w:rPr>
        <w:t>餐饮服务</w:t>
      </w:r>
      <w:r>
        <w:rPr>
          <w:rFonts w:hint="eastAsia" w:ascii="仿宋_GB2312" w:hAnsi="宋体"/>
          <w:szCs w:val="28"/>
        </w:rPr>
        <w:t>要求的基础上，结合编制单位</w:t>
      </w:r>
      <w:r>
        <w:rPr>
          <w:rFonts w:ascii="仿宋_GB2312" w:hAnsi="宋体"/>
          <w:szCs w:val="28"/>
        </w:rPr>
        <w:t>多年</w:t>
      </w:r>
      <w:r>
        <w:rPr>
          <w:rFonts w:hint="eastAsia" w:ascii="仿宋_GB2312" w:hAnsi="宋体"/>
          <w:szCs w:val="28"/>
        </w:rPr>
        <w:t>相关经验而总结起草的，符合当前横县鱼生</w:t>
      </w:r>
      <w:r>
        <w:rPr>
          <w:rFonts w:hint="eastAsia" w:ascii="仿宋_GB2312" w:hAnsi="宋体"/>
          <w:szCs w:val="28"/>
          <w:lang w:eastAsia="zh-CN"/>
        </w:rPr>
        <w:t>餐饮服务</w:t>
      </w:r>
      <w:r>
        <w:rPr>
          <w:rFonts w:hint="eastAsia" w:ascii="仿宋_GB2312" w:hAnsi="宋体"/>
          <w:szCs w:val="28"/>
        </w:rPr>
        <w:t>发展的方向，具有较强的实用性和可操作性。</w:t>
      </w:r>
    </w:p>
    <w:p w14:paraId="439C6CDD">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2．协调性原则</w:t>
      </w:r>
    </w:p>
    <w:p w14:paraId="7E2818B5">
      <w:pPr>
        <w:ind w:firstLine="640"/>
        <w:rPr>
          <w:rFonts w:ascii="仿宋_GB2312" w:hAnsi="宋体"/>
          <w:szCs w:val="28"/>
        </w:rPr>
      </w:pPr>
      <w:r>
        <w:rPr>
          <w:rFonts w:hint="eastAsia" w:ascii="仿宋_GB2312" w:hAnsi="宋体"/>
          <w:szCs w:val="28"/>
        </w:rPr>
        <w:t>本文件编写过程中注意了与横县鱼生</w:t>
      </w:r>
      <w:r>
        <w:rPr>
          <w:rFonts w:hint="eastAsia" w:ascii="仿宋_GB2312" w:hAnsi="宋体"/>
          <w:szCs w:val="28"/>
          <w:lang w:eastAsia="zh-CN"/>
        </w:rPr>
        <w:t>餐饮服务</w:t>
      </w:r>
      <w:r>
        <w:rPr>
          <w:rFonts w:hint="eastAsia" w:ascii="仿宋_GB2312" w:hAnsi="宋体"/>
          <w:szCs w:val="28"/>
        </w:rPr>
        <w:t>相关法律法规的协调问题，在内容上与现行法律法规、标准协调一致。</w:t>
      </w:r>
    </w:p>
    <w:p w14:paraId="754A7C6F">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3．规范性原则</w:t>
      </w:r>
    </w:p>
    <w:p w14:paraId="02E1920D">
      <w:pPr>
        <w:ind w:firstLine="640"/>
        <w:rPr>
          <w:rFonts w:ascii="仿宋_GB2312" w:hAnsi="宋体"/>
          <w:szCs w:val="28"/>
        </w:rPr>
      </w:pPr>
      <w:r>
        <w:rPr>
          <w:rFonts w:hint="eastAsia" w:ascii="仿宋_GB2312" w:hAnsi="宋体"/>
          <w:szCs w:val="28"/>
        </w:rPr>
        <w:t>本文件严格参照GB/T 1.1—2020《标准化工作导则  第1部分：标准化文件的结构和起草规则》编写本标准的内容，保证标准的编写质量。</w:t>
      </w:r>
    </w:p>
    <w:p w14:paraId="2E19ADA2">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4．前瞻性原则</w:t>
      </w:r>
    </w:p>
    <w:p w14:paraId="31B43B05">
      <w:pPr>
        <w:ind w:firstLine="640"/>
        <w:rPr>
          <w:rFonts w:ascii="仿宋_GB2312" w:hAnsi="宋体"/>
          <w:szCs w:val="28"/>
        </w:rPr>
      </w:pPr>
      <w:r>
        <w:rPr>
          <w:rFonts w:hint="eastAsia" w:ascii="仿宋_GB2312" w:hAnsi="宋体"/>
          <w:szCs w:val="28"/>
        </w:rPr>
        <w:t>本文件在兼顾当前区内</w:t>
      </w:r>
      <w:r>
        <w:rPr>
          <w:rFonts w:hint="eastAsia" w:ascii="仿宋_GB2312" w:hAnsi="宋体"/>
          <w:szCs w:val="28"/>
          <w:lang w:eastAsia="zh-CN"/>
        </w:rPr>
        <w:t>横县鱼生全链条管理规范  第4部分：餐饮服务</w:t>
      </w:r>
      <w:r>
        <w:rPr>
          <w:rFonts w:hint="eastAsia" w:ascii="仿宋_GB2312" w:hAnsi="宋体"/>
          <w:szCs w:val="28"/>
        </w:rPr>
        <w:t>现实情况的同时，还考虑到了横县鱼生</w:t>
      </w:r>
      <w:r>
        <w:rPr>
          <w:rFonts w:hint="eastAsia" w:ascii="仿宋_GB2312" w:hAnsi="宋体"/>
          <w:szCs w:val="28"/>
          <w:lang w:eastAsia="zh-CN"/>
        </w:rPr>
        <w:t>餐饮服务</w:t>
      </w:r>
      <w:r>
        <w:rPr>
          <w:rFonts w:hint="eastAsia" w:ascii="仿宋_GB2312" w:hAnsi="宋体"/>
          <w:szCs w:val="28"/>
        </w:rPr>
        <w:t>发展的趋势和需要，在标准中体现了个别特色性、前瞻性和先进性条款，作为对横县鱼生</w:t>
      </w:r>
      <w:r>
        <w:rPr>
          <w:rFonts w:hint="eastAsia" w:ascii="仿宋_GB2312" w:hAnsi="宋体"/>
          <w:szCs w:val="28"/>
          <w:lang w:eastAsia="zh-CN"/>
        </w:rPr>
        <w:t>餐饮服务</w:t>
      </w:r>
      <w:r>
        <w:rPr>
          <w:rFonts w:hint="eastAsia" w:ascii="仿宋_GB2312" w:hAnsi="宋体"/>
          <w:szCs w:val="28"/>
        </w:rPr>
        <w:t>的指导。</w:t>
      </w:r>
    </w:p>
    <w:p w14:paraId="6914C426">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（二）编制依据</w:t>
      </w:r>
    </w:p>
    <w:p w14:paraId="2BC4A257">
      <w:pPr>
        <w:ind w:firstLine="640"/>
        <w:rPr>
          <w:rFonts w:eastAsia="仿宋"/>
          <w:szCs w:val="32"/>
        </w:rPr>
      </w:pPr>
      <w:r>
        <w:rPr>
          <w:rFonts w:eastAsia="仿宋"/>
          <w:szCs w:val="32"/>
        </w:rPr>
        <w:t>本标准严格按照GB/T 1.1—2020《标准化工作导则  第1部分：标准化文件的结构和起草规则》的规则起草，标准主要内容参考相关标准文件并结合</w:t>
      </w:r>
      <w:r>
        <w:rPr>
          <w:rFonts w:hint="eastAsia" w:eastAsia="仿宋"/>
          <w:szCs w:val="32"/>
        </w:rPr>
        <w:t>实践</w:t>
      </w:r>
      <w:r>
        <w:rPr>
          <w:rFonts w:eastAsia="仿宋"/>
          <w:szCs w:val="32"/>
        </w:rPr>
        <w:t>验证情况总结进行起草。</w:t>
      </w:r>
    </w:p>
    <w:p w14:paraId="35BBB67E">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14:paraId="092A7ABF">
      <w:pPr>
        <w:ind w:firstLine="640"/>
        <w:rPr>
          <w:rFonts w:eastAsia="仿宋"/>
          <w:szCs w:val="32"/>
        </w:rPr>
      </w:pPr>
      <w:r>
        <w:rPr>
          <w:rFonts w:hint="eastAsia" w:eastAsia="仿宋"/>
          <w:szCs w:val="32"/>
        </w:rPr>
        <w:t>本编制工作组承诺本标准内容与各项指标不违反相关法律法规要求，且不低于国家强制性标准、推荐性国家标准和行业标准要求。</w:t>
      </w:r>
    </w:p>
    <w:p w14:paraId="3837B665">
      <w:pPr>
        <w:ind w:firstLine="640"/>
        <w:rPr>
          <w:rFonts w:hint="eastAsia" w:ascii="仿宋_GB2312" w:hAnsi="宋体"/>
          <w:szCs w:val="28"/>
          <w:lang w:eastAsia="zh-CN"/>
        </w:rPr>
      </w:pPr>
      <w:r>
        <w:rPr>
          <w:rFonts w:hint="eastAsia" w:ascii="仿宋_GB2312" w:hAnsi="宋体"/>
          <w:szCs w:val="28"/>
          <w:lang w:eastAsia="zh-CN"/>
        </w:rPr>
        <w:t>经查新，截至目前，国内暂无“横县鱼生全链条管理规范 第4部分：餐饮服务”的国家、行业、地方标准、团体标准。</w:t>
      </w:r>
    </w:p>
    <w:p w14:paraId="4206695C">
      <w:pPr>
        <w:ind w:firstLine="640"/>
        <w:rPr>
          <w:rFonts w:hint="eastAsia" w:ascii="仿宋_GB2312" w:hAnsi="宋体"/>
          <w:szCs w:val="28"/>
          <w:lang w:eastAsia="zh-CN"/>
        </w:rPr>
      </w:pPr>
      <w:r>
        <w:rPr>
          <w:rFonts w:hint="eastAsia" w:ascii="仿宋_GB2312" w:hAnsi="宋体"/>
          <w:szCs w:val="28"/>
          <w:lang w:eastAsia="zh-CN"/>
        </w:rPr>
        <w:t>经查询，与“鱼生</w:t>
      </w:r>
      <w:r>
        <w:rPr>
          <w:rFonts w:hint="eastAsia" w:ascii="仿宋_GB2312" w:hAnsi="宋体"/>
          <w:szCs w:val="28"/>
          <w:lang w:val="en-US" w:eastAsia="zh-CN"/>
        </w:rPr>
        <w:t xml:space="preserve"> </w:t>
      </w:r>
      <w:r>
        <w:rPr>
          <w:rFonts w:hint="eastAsia" w:ascii="仿宋_GB2312" w:hAnsi="宋体"/>
          <w:szCs w:val="28"/>
          <w:lang w:eastAsia="zh-CN"/>
        </w:rPr>
        <w:t>餐饮服务”标准相关的标准有：</w:t>
      </w:r>
      <w:r>
        <w:rPr>
          <w:rFonts w:hint="default" w:ascii="仿宋_GB2312" w:hAnsi="宋体"/>
          <w:szCs w:val="28"/>
          <w:lang w:val="en-US" w:eastAsia="zh-CN"/>
        </w:rPr>
        <w:t>T/GRA009-2024</w:t>
      </w:r>
      <w:r>
        <w:rPr>
          <w:rFonts w:hint="eastAsia" w:ascii="仿宋_GB2312" w:hAnsi="宋体"/>
          <w:szCs w:val="28"/>
          <w:lang w:val="en-US" w:eastAsia="zh-CN"/>
        </w:rPr>
        <w:t xml:space="preserve">  </w:t>
      </w:r>
      <w:r>
        <w:rPr>
          <w:rFonts w:hint="default" w:ascii="仿宋_GB2312" w:hAnsi="宋体"/>
          <w:szCs w:val="28"/>
          <w:lang w:val="en-US" w:eastAsia="zh-CN"/>
        </w:rPr>
        <w:t>顺德鱼生全链条管理规范 第5部分:餐饮服务</w:t>
      </w:r>
      <w:r>
        <w:rPr>
          <w:rFonts w:hint="eastAsia" w:ascii="仿宋_GB2312" w:hAnsi="宋体"/>
          <w:szCs w:val="28"/>
          <w:lang w:eastAsia="zh-CN"/>
        </w:rPr>
        <w:t>。</w:t>
      </w:r>
    </w:p>
    <w:p w14:paraId="2D6FEB85">
      <w:pPr>
        <w:ind w:firstLine="640"/>
        <w:rPr>
          <w:rFonts w:hint="eastAsia" w:ascii="仿宋_GB2312" w:hAnsi="宋体"/>
          <w:szCs w:val="28"/>
          <w:lang w:val="en-US" w:eastAsia="zh-CN"/>
        </w:rPr>
      </w:pPr>
      <w:r>
        <w:rPr>
          <w:rFonts w:hint="eastAsia" w:ascii="仿宋_GB2312" w:hAnsi="宋体"/>
          <w:szCs w:val="28"/>
          <w:lang w:val="en-US" w:eastAsia="zh-CN"/>
        </w:rPr>
        <w:t>其中《T/GRA009-2024  顺德鱼生全链条管理规范 第5部分:餐饮服务》顺德鱼生餐饮服务单位资质、管理要求、设施及环境、人员要求、餐饮提供、品质控制、</w:t>
      </w:r>
      <w:r>
        <w:rPr>
          <w:rFonts w:hint="eastAsia" w:eastAsia="仿宋"/>
          <w:szCs w:val="32"/>
          <w:lang w:val="en-US" w:eastAsia="zh-CN"/>
        </w:rPr>
        <w:t>持续改进、品牌宣传等。适用于对顺德鱼生餐饮单位的经营管理及餐饮提供服务。不适用于横县鱼生餐饮服务及横县鱼生的品牌和文化。而</w:t>
      </w:r>
      <w:r>
        <w:rPr>
          <w:rFonts w:hint="eastAsia" w:ascii="仿宋_GB2312" w:hAnsi="宋体"/>
          <w:szCs w:val="28"/>
          <w:lang w:val="en-US" w:eastAsia="zh-CN"/>
        </w:rPr>
        <w:t>本标准为横县鱼生全链条管理的餐饮服务，相比于顺德鱼生的餐饮服务，区别在于：</w:t>
      </w:r>
      <w:r>
        <w:rPr>
          <w:rFonts w:hint="eastAsia" w:ascii="仿宋_GB2312" w:hAnsi="宋体"/>
          <w:szCs w:val="28"/>
          <w:lang w:eastAsia="zh-CN"/>
        </w:rPr>
        <w:t>（1）针对横县鱼生餐饮店能提供的服务内容及服务要求，内容上突出横县鱼生美食非遗文化，以及介绍、示范吃法等等；新增了在堂食和外卖等服务上结合鱼生要求等特点进行了规定；（2）“4 基本要求”增加了“4.3餐厅应设置专门的横县鱼生文化展示区，展示横县鱼生的历史渊源、制作工艺、文化传承等内容，可通过图片、文字、实物展示等多种形式呈现，增强顾客对横县鱼生文化的了解和认同。”“4.5 提供外卖服务的餐饮单位，应配备专门的外卖打包区域，确保外卖包装符合食品安全要求，同时在外包装卖上清晰标注“横县鱼生”品牌标识和食用说明。”（3）“5 人员要求”中新增了"服务员应仪表端庄、大方，着装整洁、干净、无破损，宜穿着具有壮族特色的服装或绣有横县鱼生图案等体现地方文化特色的服饰”，体现地方文化特色。（4）“6 服务内容”增加了“点餐服务时应推荐鱼品种及不同切片方法，介绍赤眼鳟、青竹鱼、桂花鱼、黄肉鲤鱼、草鱼、罗非鱼、蓝刀鱼等横县鱼生用鱼的口感，以及'单飞'鱼片、'肾花'鱼块、'木马架'鱼片等不同切法”“用餐服务时应介绍横县鱼生传统菜品名称以及传统或新派的制作方式，并介绍横县鱼生的食法及其养生功效。宜针对不同鱼生用鱼和辅料，展示菜品营养标识牌（基础营养素、特征活性物质以及致敏原提示等）”，尤其是新增了横县鱼生辅料搭配建议，横县鱼生辅料搭配推荐见附录D。横县鱼生作为非物质文化遗产，其“以食为养”的传统智慧与中医体质学说高度契合。不同体质人群对生食寒热属性、配料配伍存在差异化需求。本标准基于“三因制宜”原则（因时、因地、因人），结合岭南湿热地理特性及鱼生工艺特点，提出九大体质适配性辅料方案见表D.1。（5）在“7 服务评价与改进”中强调应定期开展顾客满意度调查，收集并汇总餐后对鱼生品质及服务的评价，同时记录改进建议。满意度调查表见附录E</w:t>
      </w:r>
      <w:bookmarkStart w:id="7" w:name="_GoBack"/>
      <w:bookmarkEnd w:id="7"/>
    </w:p>
    <w:p w14:paraId="3922F49F">
      <w:pPr>
        <w:ind w:firstLine="640"/>
        <w:rPr>
          <w:rFonts w:hint="eastAsia" w:ascii="仿宋_GB2312" w:hAnsi="宋体"/>
          <w:szCs w:val="28"/>
          <w:lang w:eastAsia="zh-CN"/>
        </w:rPr>
      </w:pPr>
      <w:r>
        <w:rPr>
          <w:rFonts w:hint="eastAsia" w:ascii="仿宋_GB2312" w:hAnsi="宋体"/>
          <w:szCs w:val="28"/>
          <w:lang w:val="en-US" w:eastAsia="zh-CN"/>
        </w:rPr>
        <w:t>目前未有横县鱼生标准，制定《横县鱼生制作技术规范》具有创新性和紧迫性</w:t>
      </w:r>
    </w:p>
    <w:p w14:paraId="3DA48AB2">
      <w:pPr>
        <w:autoSpaceDE w:val="0"/>
        <w:autoSpaceDN w:val="0"/>
        <w:adjustRightInd w:val="0"/>
        <w:spacing w:line="560" w:lineRule="exact"/>
        <w:ind w:firstLine="640"/>
        <w:jc w:val="left"/>
        <w:rPr>
          <w:rFonts w:ascii="黑体" w:hAnsi="黑体" w:eastAsia="黑体" w:cs="仿宋_GB2312"/>
          <w:szCs w:val="32"/>
        </w:rPr>
      </w:pPr>
      <w:bookmarkStart w:id="3" w:name="_Toc526940084"/>
      <w:r>
        <w:rPr>
          <w:rFonts w:hint="eastAsia" w:ascii="黑体" w:hAnsi="黑体" w:eastAsia="黑体" w:cs="仿宋_GB2312"/>
          <w:szCs w:val="32"/>
        </w:rPr>
        <w:t>五、</w:t>
      </w:r>
      <w:bookmarkEnd w:id="3"/>
      <w:r>
        <w:rPr>
          <w:rFonts w:hint="eastAsia" w:ascii="黑体" w:hAnsi="黑体" w:eastAsia="黑体" w:cs="仿宋_GB2312"/>
          <w:szCs w:val="32"/>
        </w:rPr>
        <w:t>主要条款的说明</w:t>
      </w:r>
    </w:p>
    <w:p w14:paraId="2D1E90A0">
      <w:pPr>
        <w:ind w:firstLine="640"/>
        <w:rPr>
          <w:rFonts w:ascii="仿宋_GB2312" w:hAnsi="宋体"/>
          <w:szCs w:val="32"/>
          <w:highlight w:val="yellow"/>
          <w:lang w:val="zh-CN"/>
        </w:rPr>
      </w:pPr>
      <w:r>
        <w:rPr>
          <w:rFonts w:hint="eastAsia"/>
          <w:snapToGrid w:val="0"/>
        </w:rPr>
        <w:t>本文件规定了横县鱼生餐饮服务基本要求、人员要求、服务内容、服务评价与改进</w:t>
      </w:r>
      <w:r>
        <w:rPr>
          <w:snapToGrid w:val="0"/>
        </w:rPr>
        <w:t>等内容</w:t>
      </w:r>
      <w:r>
        <w:rPr>
          <w:rFonts w:hint="eastAsia" w:ascii="仿宋_GB2312" w:hAnsi="宋体"/>
          <w:szCs w:val="32"/>
          <w:lang w:val="zh-CN"/>
        </w:rPr>
        <w:t>。</w:t>
      </w:r>
      <w:r>
        <w:rPr>
          <w:rFonts w:hint="eastAsia" w:ascii="仿宋_GB2312" w:hAnsi="宋体"/>
          <w:szCs w:val="32"/>
          <w:highlight w:val="none"/>
          <w:lang w:val="zh-CN"/>
        </w:rPr>
        <w:t>本文件主要内容及依据来源说明如下：</w:t>
      </w:r>
    </w:p>
    <w:p w14:paraId="5E55E19D">
      <w:pPr>
        <w:autoSpaceDE w:val="0"/>
        <w:autoSpaceDN w:val="0"/>
        <w:adjustRightInd w:val="0"/>
        <w:spacing w:line="560" w:lineRule="exact"/>
        <w:ind w:left="640" w:firstLine="0" w:firstLineChars="0"/>
        <w:jc w:val="left"/>
        <w:rPr>
          <w:rFonts w:hint="eastAsia" w:ascii="黑体" w:hAnsi="黑体" w:eastAsia="黑体" w:cs="仿宋_GB2312"/>
          <w:szCs w:val="32"/>
          <w:highlight w:val="none"/>
          <w:lang w:eastAsia="zh-CN"/>
        </w:rPr>
      </w:pPr>
      <w:r>
        <w:rPr>
          <w:rFonts w:hint="eastAsia" w:ascii="黑体" w:hAnsi="黑体" w:eastAsia="黑体" w:cs="仿宋_GB2312"/>
          <w:szCs w:val="32"/>
          <w:highlight w:val="none"/>
        </w:rPr>
        <w:t>（一）</w:t>
      </w:r>
      <w:r>
        <w:rPr>
          <w:rFonts w:hint="eastAsia" w:ascii="黑体" w:hAnsi="黑体" w:eastAsia="黑体" w:cs="仿宋_GB2312"/>
          <w:szCs w:val="32"/>
          <w:highlight w:val="none"/>
          <w:lang w:eastAsia="zh-CN"/>
        </w:rPr>
        <w:t>基本要求</w:t>
      </w:r>
    </w:p>
    <w:p w14:paraId="27254E06">
      <w:pPr>
        <w:ind w:firstLine="640"/>
        <w:rPr>
          <w:rFonts w:hint="eastAsia"/>
          <w:snapToGrid w:val="0"/>
          <w:color w:val="auto"/>
          <w:lang w:val="en-US" w:eastAsia="zh-CN"/>
        </w:rPr>
      </w:pPr>
      <w:r>
        <w:rPr>
          <w:rFonts w:hint="eastAsia" w:ascii="仿宋_GB2312" w:hAnsi="宋体"/>
          <w:szCs w:val="28"/>
          <w:lang w:val="en-US" w:eastAsia="zh-CN"/>
        </w:rPr>
        <w:t>1.餐饮场所的总体布局、功能分区及设施与设备配置</w:t>
      </w:r>
      <w:bookmarkStart w:id="4" w:name="OLE_LINK15"/>
      <w:bookmarkStart w:id="5" w:name="OLE_LINK14"/>
      <w:r>
        <w:rPr>
          <w:rFonts w:hint="eastAsia" w:ascii="仿宋_GB2312" w:hAnsi="宋体"/>
          <w:szCs w:val="28"/>
          <w:lang w:val="en-US" w:eastAsia="zh-CN"/>
        </w:rPr>
        <w:t>应符合</w:t>
      </w:r>
      <w:r>
        <w:rPr>
          <w:snapToGrid w:val="0"/>
          <w:color w:val="auto"/>
        </w:rPr>
        <w:t>GB 31654</w:t>
      </w:r>
      <w:bookmarkEnd w:id="4"/>
      <w:bookmarkEnd w:id="5"/>
      <w:r>
        <w:rPr>
          <w:rFonts w:hint="eastAsia"/>
          <w:snapToGrid w:val="0"/>
          <w:color w:val="auto"/>
          <w:lang w:val="en-US" w:eastAsia="zh-CN"/>
        </w:rPr>
        <w:t>和</w:t>
      </w:r>
      <w:r>
        <w:rPr>
          <w:rFonts w:hint="eastAsia"/>
          <w:snapToGrid w:val="0"/>
          <w:color w:val="auto"/>
        </w:rPr>
        <w:t>GB</w:t>
      </w:r>
      <w:r>
        <w:rPr>
          <w:snapToGrid w:val="0"/>
          <w:color w:val="auto"/>
        </w:rPr>
        <w:t xml:space="preserve"> </w:t>
      </w:r>
      <w:r>
        <w:rPr>
          <w:rFonts w:hint="eastAsia"/>
          <w:snapToGrid w:val="0"/>
          <w:color w:val="auto"/>
        </w:rPr>
        <w:t>14934</w:t>
      </w:r>
      <w:r>
        <w:rPr>
          <w:rFonts w:hint="eastAsia"/>
          <w:snapToGrid w:val="0"/>
          <w:color w:val="auto"/>
          <w:lang w:val="en-US" w:eastAsia="zh-CN"/>
        </w:rPr>
        <w:t>的要求</w:t>
      </w:r>
      <w:r>
        <w:rPr>
          <w:rFonts w:hint="eastAsia"/>
          <w:snapToGrid w:val="0"/>
          <w:color w:val="auto"/>
          <w:lang w:eastAsia="zh-CN"/>
        </w:rPr>
        <w:t>。</w:t>
      </w:r>
    </w:p>
    <w:p w14:paraId="517FC11B">
      <w:pPr>
        <w:pStyle w:val="2"/>
        <w:ind w:firstLine="640" w:firstLineChars="200"/>
        <w:rPr>
          <w:rFonts w:hint="default" w:ascii="Times New Roman" w:hAnsi="Times New Roman" w:eastAsia="仿宋_GB2312" w:cs="Times New Roman"/>
          <w:snapToGrid w:val="0"/>
          <w:color w:val="auto"/>
          <w:kern w:val="2"/>
          <w:sz w:val="32"/>
          <w:szCs w:val="24"/>
          <w:lang w:val="en-US" w:eastAsia="zh-CN" w:bidi="ar-SA"/>
        </w:rPr>
      </w:pPr>
      <w:r>
        <w:rPr>
          <w:rFonts w:hint="eastAsia" w:eastAsia="仿宋_GB2312" w:cs="Times New Roman"/>
          <w:snapToGrid w:val="0"/>
          <w:color w:val="auto"/>
          <w:kern w:val="2"/>
          <w:sz w:val="32"/>
          <w:szCs w:val="24"/>
          <w:lang w:val="en-US" w:eastAsia="zh-CN" w:bidi="ar-SA"/>
        </w:rPr>
        <w:t>2.</w:t>
      </w:r>
      <w:r>
        <w:rPr>
          <w:rFonts w:hint="eastAsia" w:ascii="Times New Roman" w:hAnsi="Times New Roman" w:eastAsia="仿宋_GB2312" w:cs="Times New Roman"/>
          <w:snapToGrid w:val="0"/>
          <w:color w:val="auto"/>
          <w:kern w:val="2"/>
          <w:sz w:val="32"/>
          <w:szCs w:val="24"/>
          <w:lang w:val="en-US" w:eastAsia="zh-CN" w:bidi="ar-SA"/>
        </w:rPr>
        <w:t>关于设置</w:t>
      </w:r>
      <w:r>
        <w:rPr>
          <w:rFonts w:hint="default" w:ascii="Times New Roman" w:hAnsi="Times New Roman" w:eastAsia="仿宋_GB2312" w:cs="Times New Roman"/>
          <w:snapToGrid w:val="0"/>
          <w:color w:val="auto"/>
          <w:kern w:val="2"/>
          <w:sz w:val="32"/>
          <w:szCs w:val="24"/>
          <w:lang w:val="en-US" w:eastAsia="zh-CN" w:bidi="ar-SA"/>
        </w:rPr>
        <w:t>“文化展示区”与“外卖打包区”</w:t>
      </w:r>
      <w:r>
        <w:rPr>
          <w:rFonts w:hint="eastAsia" w:eastAsia="仿宋_GB2312" w:cs="Times New Roman"/>
          <w:snapToGrid w:val="0"/>
          <w:color w:val="auto"/>
          <w:kern w:val="2"/>
          <w:sz w:val="32"/>
          <w:szCs w:val="24"/>
          <w:lang w:val="en-US" w:eastAsia="zh-CN" w:bidi="ar-SA"/>
        </w:rPr>
        <w:t>的规定</w:t>
      </w:r>
      <w:r>
        <w:rPr>
          <w:rFonts w:hint="default" w:ascii="Times New Roman" w:hAnsi="Times New Roman" w:eastAsia="仿宋_GB2312" w:cs="Times New Roman"/>
          <w:snapToGrid w:val="0"/>
          <w:color w:val="auto"/>
          <w:kern w:val="2"/>
          <w:sz w:val="32"/>
          <w:szCs w:val="24"/>
          <w:lang w:val="en-US" w:eastAsia="zh-CN" w:bidi="ar-SA"/>
        </w:rPr>
        <w:t>是提升服务软实力的创新体现。设置文化展示区的要求，旨在解决当前多数鱼生店“有美食、无文化”的痛点。通过图片、文字、实物（如传统刀具、鱼盘）等多种形式展示横县鱼生的历史渊源、制作工艺和非遗文化，能够增强顾客的认知和认同感，提升消费体验的价值，这也是将非物质文化遗产保护从“技艺”本身扩展到“传播与体验”环节的具体实践。设置外卖打包区的要求，则是适应餐饮新业态发展的必要举措。外卖过程中温度、时间控制不当极易导致鱼生品质劣变甚至安全风险。专用区域能确保打包过程在卫生、可控的环境下进行，同时规定在外包装上清晰标注品牌标识和食用说明，既是品牌宣传的需要，也是对外卖消费者负责任的体现，指导其安全食用。</w:t>
      </w:r>
    </w:p>
    <w:p w14:paraId="2FA18F7F">
      <w:pPr>
        <w:pStyle w:val="2"/>
        <w:ind w:firstLine="640" w:firstLineChars="200"/>
        <w:rPr>
          <w:rFonts w:hint="default" w:ascii="Times New Roman" w:hAnsi="Times New Roman" w:eastAsia="仿宋_GB2312" w:cs="Times New Roman"/>
          <w:snapToGrid w:val="0"/>
          <w:color w:val="auto"/>
          <w:kern w:val="2"/>
          <w:sz w:val="32"/>
          <w:szCs w:val="24"/>
          <w:lang w:val="en-US" w:eastAsia="zh-CN" w:bidi="ar-SA"/>
        </w:rPr>
      </w:pPr>
      <w:r>
        <w:rPr>
          <w:rFonts w:hint="eastAsia" w:eastAsia="仿宋_GB2312" w:cs="Times New Roman"/>
          <w:snapToGrid w:val="0"/>
          <w:color w:val="auto"/>
          <w:kern w:val="2"/>
          <w:sz w:val="32"/>
          <w:szCs w:val="24"/>
          <w:lang w:val="en-US" w:eastAsia="zh-CN" w:bidi="ar-SA"/>
        </w:rPr>
        <w:t>3.横县鱼生是广西自治区级非物质文化遗产，其价值远超食物本身，更在于其承载的千年饮食文化。然而，多数消费者乃至餐饮从业者对其深厚的历史渊源知之甚少，导致文化传播环节缺失。为了提供准确、统一的文本依据，确保文化宣传的规范性和权威性，避免讹传，标准制定了附录A（横县鱼生历史文化介绍），其内容严格考据《说文解字》、《诗经》、《徐霞客游记·粤西游日记》、《横州志》、《壮族通史》等历史文献，证实中国食脍传统源远流长，横县鱼生是这一传统在岭南地区的活态传承，而非受外来文化影响，从而增强文化自信与品牌价值，为菜品赋予历史厚重感，</w:t>
      </w:r>
    </w:p>
    <w:p w14:paraId="3EE37CDE">
      <w:pPr>
        <w:autoSpaceDE w:val="0"/>
        <w:autoSpaceDN w:val="0"/>
        <w:adjustRightInd w:val="0"/>
        <w:spacing w:line="560" w:lineRule="exact"/>
        <w:ind w:firstLine="643"/>
        <w:jc w:val="left"/>
        <w:rPr>
          <w:rFonts w:hint="eastAsia"/>
          <w:highlight w:val="none"/>
          <w:lang w:val="zh-CN" w:eastAsia="zh-CN"/>
        </w:rPr>
      </w:pPr>
      <w:r>
        <w:rPr>
          <w:rFonts w:hint="eastAsia" w:ascii="黑体" w:hAnsi="黑体" w:eastAsia="黑体" w:cs="仿宋_GB2312"/>
          <w:szCs w:val="32"/>
          <w:highlight w:val="none"/>
        </w:rPr>
        <w:t>（</w:t>
      </w:r>
      <w:r>
        <w:rPr>
          <w:rFonts w:hint="eastAsia" w:ascii="黑体" w:hAnsi="黑体" w:eastAsia="黑体" w:cs="仿宋_GB2312"/>
          <w:szCs w:val="32"/>
          <w:highlight w:val="none"/>
          <w:lang w:eastAsia="zh-CN"/>
        </w:rPr>
        <w:t>二</w:t>
      </w:r>
      <w:r>
        <w:rPr>
          <w:rFonts w:hint="eastAsia" w:ascii="黑体" w:hAnsi="黑体" w:eastAsia="黑体" w:cs="仿宋_GB2312"/>
          <w:szCs w:val="32"/>
          <w:highlight w:val="none"/>
        </w:rPr>
        <w:t>）人员要求</w:t>
      </w:r>
    </w:p>
    <w:p w14:paraId="4A2D380C">
      <w:pPr>
        <w:pStyle w:val="2"/>
        <w:ind w:firstLine="640" w:firstLineChars="200"/>
        <w:rPr>
          <w:rFonts w:hint="eastAsia" w:ascii="Times New Roman" w:hAnsi="Times New Roman" w:eastAsia="仿宋_GB2312" w:cs="Times New Roman"/>
          <w:snapToGrid w:val="0"/>
          <w:color w:val="auto"/>
          <w:kern w:val="2"/>
          <w:sz w:val="32"/>
          <w:szCs w:val="24"/>
          <w:lang w:val="en-US" w:eastAsia="zh-CN" w:bidi="ar-SA"/>
        </w:rPr>
      </w:pPr>
      <w:r>
        <w:rPr>
          <w:rFonts w:hint="eastAsia" w:ascii="Times New Roman" w:hAnsi="Times New Roman" w:eastAsia="仿宋_GB2312" w:cs="Times New Roman"/>
          <w:snapToGrid w:val="0"/>
          <w:color w:val="auto"/>
          <w:kern w:val="2"/>
          <w:sz w:val="32"/>
          <w:szCs w:val="24"/>
          <w:lang w:val="en-US" w:eastAsia="zh-CN" w:bidi="ar-SA"/>
        </w:rPr>
        <w:t>1.鱼生制作师应符合T/GXYYXH 0001.3（第三部分 加工制作）的规定。</w:t>
      </w:r>
    </w:p>
    <w:p w14:paraId="3E54B6C1">
      <w:pPr>
        <w:pStyle w:val="2"/>
        <w:ind w:firstLine="640" w:firstLineChars="200"/>
        <w:rPr>
          <w:rFonts w:hint="eastAsia" w:ascii="Times New Roman" w:hAnsi="Times New Roman" w:eastAsia="仿宋_GB2312" w:cs="Times New Roman"/>
          <w:snapToGrid w:val="0"/>
          <w:color w:val="auto"/>
          <w:kern w:val="2"/>
          <w:sz w:val="32"/>
          <w:szCs w:val="24"/>
          <w:lang w:val="zh-CN" w:eastAsia="zh-CN" w:bidi="ar-SA"/>
        </w:rPr>
      </w:pPr>
      <w:r>
        <w:rPr>
          <w:rFonts w:hint="eastAsia" w:ascii="Times New Roman" w:hAnsi="Times New Roman" w:eastAsia="仿宋_GB2312" w:cs="Times New Roman"/>
          <w:snapToGrid w:val="0"/>
          <w:color w:val="auto"/>
          <w:kern w:val="2"/>
          <w:sz w:val="32"/>
          <w:szCs w:val="24"/>
          <w:lang w:val="en-US" w:eastAsia="zh-CN" w:bidi="ar-SA"/>
        </w:rPr>
        <w:t>2.</w:t>
      </w:r>
      <w:r>
        <w:rPr>
          <w:rFonts w:hint="eastAsia" w:ascii="Times New Roman" w:hAnsi="Times New Roman" w:eastAsia="仿宋_GB2312" w:cs="Times New Roman"/>
          <w:snapToGrid w:val="0"/>
          <w:color w:val="auto"/>
          <w:kern w:val="2"/>
          <w:sz w:val="32"/>
          <w:szCs w:val="24"/>
          <w:lang w:val="en-US" w:eastAsia="zh-CN" w:bidi="ar-SA"/>
        </w:rPr>
        <w:t>关于服务员的要求</w:t>
      </w:r>
      <w:r>
        <w:rPr>
          <w:rFonts w:hint="eastAsia" w:ascii="Times New Roman" w:hAnsi="Times New Roman" w:eastAsia="仿宋_GB2312" w:cs="Times New Roman"/>
          <w:snapToGrid w:val="0"/>
          <w:color w:val="auto"/>
          <w:kern w:val="2"/>
          <w:sz w:val="32"/>
          <w:szCs w:val="24"/>
          <w:lang w:val="zh-CN" w:eastAsia="zh-CN" w:bidi="ar-SA"/>
        </w:rPr>
        <w:t>体现了横县鱼生服务的专业性。除应完成岗前培训，具备基本服务技能与食品安全知识；</w:t>
      </w:r>
      <w:r>
        <w:rPr>
          <w:rFonts w:hint="eastAsia" w:ascii="Times New Roman" w:hAnsi="Times New Roman" w:eastAsia="仿宋_GB2312" w:cs="Times New Roman"/>
          <w:snapToGrid w:val="0"/>
          <w:color w:val="auto"/>
          <w:kern w:val="2"/>
          <w:sz w:val="32"/>
          <w:szCs w:val="24"/>
          <w:lang w:val="zh-CN" w:eastAsia="zh-CN" w:bidi="ar-SA"/>
        </w:rPr>
        <w:t>每年接受健康体检并定期参加食品安全再教育，确保各项卫生规范落到实处；在接待服务中应精神饱满，微笑服务，礼貌待客，文明用语，诚实守信</w:t>
      </w:r>
      <w:r>
        <w:rPr>
          <w:rFonts w:hint="eastAsia" w:ascii="Times New Roman" w:hAnsi="Times New Roman" w:eastAsia="仿宋_GB2312" w:cs="Times New Roman"/>
          <w:snapToGrid w:val="0"/>
          <w:color w:val="auto"/>
          <w:kern w:val="2"/>
          <w:sz w:val="32"/>
          <w:szCs w:val="24"/>
          <w:lang w:val="en-US" w:eastAsia="zh-CN" w:bidi="ar-SA"/>
        </w:rPr>
        <w:t>外，</w:t>
      </w:r>
      <w:r>
        <w:rPr>
          <w:rFonts w:hint="eastAsia" w:ascii="Times New Roman" w:hAnsi="Times New Roman" w:eastAsia="仿宋_GB2312" w:cs="Times New Roman"/>
          <w:snapToGrid w:val="0"/>
          <w:color w:val="auto"/>
          <w:kern w:val="2"/>
          <w:sz w:val="32"/>
          <w:szCs w:val="24"/>
          <w:lang w:val="zh-CN" w:eastAsia="zh-CN" w:bidi="ar-SA"/>
        </w:rPr>
        <w:t>核心要求</w:t>
      </w:r>
      <w:r>
        <w:rPr>
          <w:rFonts w:hint="eastAsia" w:ascii="Times New Roman" w:hAnsi="Times New Roman" w:eastAsia="仿宋_GB2312" w:cs="Times New Roman"/>
          <w:snapToGrid w:val="0"/>
          <w:color w:val="auto"/>
          <w:kern w:val="2"/>
          <w:sz w:val="32"/>
          <w:szCs w:val="24"/>
          <w:lang w:val="en-US" w:eastAsia="zh-CN" w:bidi="ar-SA"/>
        </w:rPr>
        <w:t>是</w:t>
      </w:r>
      <w:r>
        <w:rPr>
          <w:rFonts w:hint="eastAsia" w:ascii="Times New Roman" w:hAnsi="Times New Roman" w:eastAsia="仿宋_GB2312" w:cs="Times New Roman"/>
          <w:snapToGrid w:val="0"/>
          <w:color w:val="auto"/>
          <w:kern w:val="2"/>
          <w:sz w:val="32"/>
          <w:szCs w:val="24"/>
          <w:lang w:val="zh-CN" w:eastAsia="zh-CN" w:bidi="ar-SA"/>
        </w:rPr>
        <w:t>“应深入了解横县鱼生历史文化、养生文化背景，熟悉辅料组合与食用步骤”。这意味着服务员不仅是服务提供者，更是文化宣讲者，</w:t>
      </w:r>
      <w:r>
        <w:rPr>
          <w:rFonts w:hint="eastAsia" w:ascii="Times New Roman" w:hAnsi="Times New Roman" w:eastAsia="仿宋_GB2312" w:cs="Times New Roman"/>
          <w:snapToGrid w:val="0"/>
          <w:color w:val="auto"/>
          <w:kern w:val="2"/>
          <w:sz w:val="32"/>
          <w:szCs w:val="24"/>
          <w:lang w:val="zh-CN" w:eastAsia="zh-CN" w:bidi="ar-SA"/>
        </w:rPr>
        <w:t>将极大提升服务的专业价值和顾客体验，是区别于普通餐饮</w:t>
      </w:r>
      <w:r>
        <w:rPr>
          <w:rFonts w:hint="eastAsia" w:ascii="Times New Roman" w:hAnsi="Times New Roman" w:eastAsia="仿宋_GB2312" w:cs="Times New Roman"/>
          <w:snapToGrid w:val="0"/>
          <w:color w:val="auto"/>
          <w:kern w:val="2"/>
          <w:sz w:val="32"/>
          <w:szCs w:val="24"/>
          <w:lang w:val="en-US" w:eastAsia="zh-CN" w:bidi="ar-SA"/>
        </w:rPr>
        <w:t>服务员</w:t>
      </w:r>
      <w:r>
        <w:rPr>
          <w:rFonts w:hint="eastAsia" w:ascii="Times New Roman" w:hAnsi="Times New Roman" w:eastAsia="仿宋_GB2312" w:cs="Times New Roman"/>
          <w:snapToGrid w:val="0"/>
          <w:color w:val="auto"/>
          <w:kern w:val="2"/>
          <w:sz w:val="32"/>
          <w:szCs w:val="24"/>
          <w:lang w:val="zh-CN" w:eastAsia="zh-CN" w:bidi="ar-SA"/>
        </w:rPr>
        <w:t>的关键。规定服务员"宜穿着具有壮族特色的服装或绣有横县鱼生图案等体现地方文化特色的服饰"，这是将服务人员的着装规范与地方文化特色和非物质文化遗产传播相结合的重要举措，有助于营造浓郁的地方文化氛围，增强顾客的文化体验感。</w:t>
      </w:r>
    </w:p>
    <w:p w14:paraId="5F3BA9D7">
      <w:pPr>
        <w:pStyle w:val="2"/>
        <w:ind w:firstLine="640" w:firstLineChars="200"/>
        <w:rPr>
          <w:rFonts w:hint="eastAsia" w:ascii="Times New Roman" w:hAnsi="Times New Roman" w:eastAsia="仿宋_GB2312" w:cs="Times New Roman"/>
          <w:snapToGrid w:val="0"/>
          <w:color w:val="auto"/>
          <w:kern w:val="2"/>
          <w:sz w:val="32"/>
          <w:szCs w:val="24"/>
          <w:lang w:val="zh-CN" w:eastAsia="zh-CN" w:bidi="ar-SA"/>
        </w:rPr>
      </w:pPr>
      <w:r>
        <w:rPr>
          <w:rFonts w:hint="eastAsia" w:ascii="Times New Roman" w:hAnsi="Times New Roman" w:eastAsia="仿宋_GB2312" w:cs="Times New Roman"/>
          <w:snapToGrid w:val="0"/>
          <w:color w:val="auto"/>
          <w:kern w:val="2"/>
          <w:sz w:val="32"/>
          <w:szCs w:val="24"/>
          <w:lang w:val="zh-CN" w:eastAsia="zh-CN" w:bidi="ar-SA"/>
        </w:rPr>
        <w:t>（三）服务内容</w:t>
      </w:r>
    </w:p>
    <w:p w14:paraId="0CCAE807">
      <w:pPr>
        <w:pStyle w:val="2"/>
        <w:ind w:firstLine="640" w:firstLineChars="200"/>
        <w:rPr>
          <w:rFonts w:hint="default" w:ascii="Times New Roman" w:hAnsi="Times New Roman" w:eastAsia="仿宋_GB2312" w:cs="Times New Roman"/>
          <w:snapToGrid w:val="0"/>
          <w:color w:val="auto"/>
          <w:kern w:val="2"/>
          <w:sz w:val="32"/>
          <w:szCs w:val="24"/>
          <w:lang w:val="en-US" w:eastAsia="zh-CN" w:bidi="ar-SA"/>
        </w:rPr>
      </w:pPr>
      <w:r>
        <w:rPr>
          <w:rFonts w:hint="eastAsia" w:ascii="Times New Roman" w:hAnsi="Times New Roman" w:eastAsia="仿宋_GB2312" w:cs="Times New Roman"/>
          <w:snapToGrid w:val="0"/>
          <w:color w:val="auto"/>
          <w:kern w:val="2"/>
          <w:sz w:val="32"/>
          <w:szCs w:val="24"/>
          <w:lang w:val="en-US" w:eastAsia="zh-CN" w:bidi="ar-SA"/>
        </w:rPr>
        <w:t>1.点餐服务</w:t>
      </w:r>
    </w:p>
    <w:p w14:paraId="2D80F206">
      <w:pPr>
        <w:pStyle w:val="2"/>
        <w:ind w:firstLine="640" w:firstLineChars="200"/>
        <w:rPr>
          <w:rFonts w:hint="default" w:ascii="Times New Roman" w:hAnsi="Times New Roman" w:eastAsia="仿宋_GB2312" w:cs="Times New Roman"/>
          <w:snapToGrid w:val="0"/>
          <w:color w:val="auto"/>
          <w:kern w:val="2"/>
          <w:sz w:val="32"/>
          <w:szCs w:val="24"/>
          <w:lang w:val="en-US" w:eastAsia="zh-CN" w:bidi="ar-SA"/>
        </w:rPr>
      </w:pPr>
      <w:r>
        <w:rPr>
          <w:rFonts w:hint="eastAsia" w:ascii="Times New Roman" w:hAnsi="Times New Roman" w:eastAsia="仿宋_GB2312" w:cs="Times New Roman"/>
          <w:snapToGrid w:val="0"/>
          <w:color w:val="auto"/>
          <w:kern w:val="2"/>
          <w:sz w:val="32"/>
          <w:szCs w:val="24"/>
          <w:lang w:val="en-US" w:eastAsia="zh-CN" w:bidi="ar-SA"/>
        </w:rPr>
        <w:t>点餐时规定服务员在客人咨询时，不应只是机械地报菜名和价格，而应能简明生动地讲述横县鱼生的历史、相关民间传说（如晋元帝时期董京的传说）、及其作为自治区级非物质文化遗产的文化价值。还要求服务员精通不同鱼种（如赤眼鳟的紧实、青竹鱼的清甜、桂花鱼的醇厚）和不同刀法（“单飞”的爽脆、“双飞”的美观、“肾花”的入味）所带来的口感差异。在此基础上，服务员需扮演“美食顾问”的角色，根据就餐人数、年龄构成、口味偏好（如喜清淡或浓烈）等因素，科学估算用餐量，提供点餐建议，其核心目的之一是 “杜绝浪费” ，积极响应《反食品浪费法》的号召，引导理性、环保的消费观念。由于横县鱼生用鱼不同品种的品质特征各有不同，因此标准提供了附录B横县用鱼的介绍，以便服务员能为顾客提供更专业的服务，能够根据每位消费者的口感、风味喜好的不同，推荐适宜的品种。</w:t>
      </w:r>
    </w:p>
    <w:p w14:paraId="4F1B8B3F">
      <w:pPr>
        <w:pStyle w:val="2"/>
        <w:ind w:firstLine="640" w:firstLineChars="200"/>
        <w:rPr>
          <w:rFonts w:hint="default"/>
          <w:lang w:val="en-US" w:eastAsia="zh-CN"/>
        </w:rPr>
      </w:pPr>
      <w:r>
        <w:rPr>
          <w:rFonts w:hint="eastAsia" w:ascii="Times New Roman" w:hAnsi="Times New Roman" w:eastAsia="仿宋_GB2312" w:cs="Times New Roman"/>
          <w:snapToGrid w:val="0"/>
          <w:color w:val="auto"/>
          <w:kern w:val="2"/>
          <w:sz w:val="32"/>
          <w:szCs w:val="24"/>
          <w:lang w:val="en-US" w:eastAsia="zh-CN" w:bidi="ar-SA"/>
        </w:rPr>
        <w:t>此外，</w:t>
      </w:r>
      <w:r>
        <w:rPr>
          <w:rFonts w:hint="default" w:ascii="Times New Roman" w:hAnsi="Times New Roman" w:eastAsia="仿宋_GB2312" w:cs="Times New Roman"/>
          <w:snapToGrid w:val="0"/>
          <w:color w:val="auto"/>
          <w:kern w:val="2"/>
          <w:sz w:val="32"/>
          <w:szCs w:val="24"/>
          <w:lang w:val="en-US" w:eastAsia="zh-CN" w:bidi="ar-SA"/>
        </w:rPr>
        <w:t>基于生食水产品特性的强制性服务要求</w:t>
      </w:r>
      <w:r>
        <w:rPr>
          <w:rFonts w:hint="eastAsia" w:ascii="Times New Roman" w:hAnsi="Times New Roman" w:eastAsia="仿宋_GB2312" w:cs="Times New Roman"/>
          <w:snapToGrid w:val="0"/>
          <w:color w:val="auto"/>
          <w:kern w:val="2"/>
          <w:sz w:val="32"/>
          <w:szCs w:val="24"/>
          <w:lang w:val="en-US" w:eastAsia="zh-CN" w:bidi="ar-SA"/>
        </w:rPr>
        <w:t>，</w:t>
      </w:r>
      <w:r>
        <w:rPr>
          <w:rFonts w:hint="default" w:ascii="Times New Roman" w:hAnsi="Times New Roman" w:eastAsia="仿宋_GB2312" w:cs="Times New Roman"/>
          <w:snapToGrid w:val="0"/>
          <w:color w:val="auto"/>
          <w:kern w:val="2"/>
          <w:sz w:val="32"/>
          <w:szCs w:val="24"/>
          <w:lang w:val="en-US" w:eastAsia="zh-CN" w:bidi="ar-SA"/>
        </w:rPr>
        <w:t>服务员必须主动向孕妇、儿童、老年人、免疫力低下人群及过敏体质者告知食用生鱼片潜在的微生物和寄生虫风险</w:t>
      </w:r>
      <w:r>
        <w:rPr>
          <w:rFonts w:hint="eastAsia" w:ascii="Times New Roman" w:hAnsi="Times New Roman" w:eastAsia="仿宋_GB2312" w:cs="Times New Roman"/>
          <w:snapToGrid w:val="0"/>
          <w:color w:val="auto"/>
          <w:kern w:val="2"/>
          <w:sz w:val="32"/>
          <w:szCs w:val="24"/>
          <w:lang w:val="en-US" w:eastAsia="zh-CN" w:bidi="ar-SA"/>
        </w:rPr>
        <w:t>，这</w:t>
      </w:r>
      <w:r>
        <w:rPr>
          <w:rFonts w:hint="default" w:ascii="Times New Roman" w:hAnsi="Times New Roman" w:eastAsia="仿宋_GB2312" w:cs="Times New Roman"/>
          <w:snapToGrid w:val="0"/>
          <w:color w:val="auto"/>
          <w:kern w:val="2"/>
          <w:sz w:val="32"/>
          <w:szCs w:val="24"/>
          <w:lang w:val="en-US" w:eastAsia="zh-CN" w:bidi="ar-SA"/>
        </w:rPr>
        <w:t>是企业履行法律义务、规避潜在纠纷的必要举措。</w:t>
      </w:r>
    </w:p>
    <w:p w14:paraId="578A3480">
      <w:pPr>
        <w:pStyle w:val="2"/>
        <w:ind w:firstLine="640" w:firstLineChars="200"/>
        <w:rPr>
          <w:rFonts w:hint="eastAsia"/>
          <w:lang w:val="en-US" w:eastAsia="zh-CN"/>
        </w:rPr>
      </w:pPr>
      <w:r>
        <w:rPr>
          <w:rFonts w:hint="eastAsia"/>
          <w:lang w:val="en-US" w:eastAsia="zh-CN"/>
        </w:rPr>
        <w:t>2.用餐服务</w:t>
      </w:r>
    </w:p>
    <w:p w14:paraId="3B544B7C">
      <w:pPr>
        <w:pStyle w:val="2"/>
        <w:ind w:firstLine="640" w:firstLineChars="200"/>
        <w:rPr>
          <w:rFonts w:hint="eastAsia" w:ascii="Times New Roman" w:hAnsi="Times New Roman" w:eastAsia="仿宋_GB2312" w:cs="Times New Roman"/>
          <w:snapToGrid w:val="0"/>
          <w:color w:val="auto"/>
          <w:kern w:val="2"/>
          <w:sz w:val="32"/>
          <w:szCs w:val="24"/>
          <w:lang w:val="en-US" w:eastAsia="zh-CN" w:bidi="ar-SA"/>
        </w:rPr>
      </w:pPr>
      <w:r>
        <w:rPr>
          <w:rFonts w:hint="eastAsia" w:ascii="Times New Roman" w:hAnsi="Times New Roman" w:eastAsia="仿宋_GB2312" w:cs="Times New Roman"/>
          <w:snapToGrid w:val="0"/>
          <w:color w:val="auto"/>
          <w:kern w:val="2"/>
          <w:sz w:val="32"/>
          <w:szCs w:val="24"/>
          <w:lang w:val="en-US" w:eastAsia="zh-CN" w:bidi="ar-SA"/>
        </w:rPr>
        <w:t>上菜前，服务员须对鱼生的色泽、形态、配料新鲜度等进行最后检查。上菜时，服务员需介绍菜品名称、制作方式（传统或新派），并介绍横县鱼生的食法及其养生功效。这不仅是一道程序，更是将菜品从“食物”提升为“文化产品”和“健康产品”的关键一步，例如讲解紫苏温中散寒、假蒌祛风利湿等“药食同源”的理念，极大地丰富了用餐的文化内涵。现代消费者对于营养健康的要求日益增长，因此，在标准中提出“宜针对不同鱼生用鱼和辅料，展示菜品营养标识牌（基础营养素、特征活性物质以及致敏原提示等）。”体现了服务的专业性和科学性。</w:t>
      </w:r>
    </w:p>
    <w:p w14:paraId="23B15750">
      <w:pPr>
        <w:pStyle w:val="2"/>
        <w:ind w:firstLine="640" w:firstLineChars="200"/>
        <w:rPr>
          <w:rFonts w:hint="default" w:ascii="Times New Roman" w:hAnsi="Times New Roman" w:eastAsia="仿宋_GB2312" w:cs="Times New Roman"/>
          <w:snapToGrid w:val="0"/>
          <w:color w:val="auto"/>
          <w:kern w:val="2"/>
          <w:sz w:val="32"/>
          <w:szCs w:val="24"/>
          <w:lang w:val="en-US" w:eastAsia="zh-CN" w:bidi="ar-SA"/>
        </w:rPr>
      </w:pPr>
      <w:r>
        <w:rPr>
          <w:rFonts w:hint="eastAsia" w:ascii="Times New Roman" w:hAnsi="Times New Roman" w:eastAsia="仿宋_GB2312" w:cs="Times New Roman"/>
          <w:snapToGrid w:val="0"/>
          <w:color w:val="auto"/>
          <w:kern w:val="2"/>
          <w:sz w:val="32"/>
          <w:szCs w:val="24"/>
          <w:lang w:val="en-US" w:eastAsia="zh-CN" w:bidi="ar-SA"/>
        </w:rPr>
        <w:t>上菜后，建议服务员主动征询顾客意愿，是否需要现场演示传统的“一口吃”技法能够加深顾客对横县鱼生文化的理解和记忆，制定了附录C通过图文步骤（取料→蘸料→“一口吃”）直观演示最地道的传统吃法，解决外地顾客“不知如何下口”的尴尬。特别说明了花生油、酱油、胡椒粉在增香、提鲜、去腥、平衡寒热中的具体作用，将模糊的口头传承转化为可教学、可推广的标准流程，确保风味体验的一致性。此外，横县鱼生的风味体系独特而复杂，其“青料”、“酸料”辅料配伍蕴含着“五味调和”、“食药同源”的传统智慧。为了详细解读紫苏、假蒌、辣蓼、山黄皮、酸荞头等数十种辅料的“性味与主要功效”和“风味特点”，说明这些辅料不仅用于去腥增香，更在传统认知中具有温中散寒、健脾消食、解鱼蟹毒等平衡食性的作用，其中，每一种辅料的“性味与归经”、“主要功效”描述，均考证于《中华人民共和国药典》、《中华本草》、《广西中药志》等权威药学典籍，以及《卫生部关于进一步规范保健食品原料管理的通知》中的“既是食品又是药品的物品名单”（如紫苏、姜、蒜、木瓜、橘皮等）和 “可用于保健食品的物品名单” ，对于横县特色的辅料（如假蒌、山黄皮、辣蓼等），其功效描述则参考了《广西中药材标准》等地方性医药文献。此外，依据中华中医药学会发布的《中医体质分类与判定标准》（ZYYXH/T157-2009）中确立的“九种体质”学说，提出了提出九大体质适配性辅料方案（附录D），提炼了每种体质最典型、最易自我察觉的1-2个特征（如气虚质“易疲劳”、湿热质“面部易长痘”），作为引导消费者进行自我初步对照的“线索”，提示其可能适合哪种推荐。</w:t>
      </w:r>
    </w:p>
    <w:p w14:paraId="1ADA4548">
      <w:pPr>
        <w:pStyle w:val="2"/>
        <w:ind w:firstLine="640" w:firstLineChars="200"/>
        <w:rPr>
          <w:rFonts w:hint="eastAsia" w:ascii="Times New Roman" w:hAnsi="Times New Roman" w:eastAsia="仿宋_GB2312" w:cs="Times New Roman"/>
          <w:snapToGrid w:val="0"/>
          <w:color w:val="auto"/>
          <w:kern w:val="2"/>
          <w:sz w:val="32"/>
          <w:szCs w:val="24"/>
          <w:lang w:val="en-US" w:eastAsia="zh-CN" w:bidi="ar-SA"/>
        </w:rPr>
      </w:pPr>
      <w:r>
        <w:rPr>
          <w:rFonts w:hint="eastAsia" w:ascii="Times New Roman" w:hAnsi="Times New Roman" w:eastAsia="仿宋_GB2312" w:cs="Times New Roman"/>
          <w:snapToGrid w:val="0"/>
          <w:color w:val="auto"/>
          <w:kern w:val="2"/>
          <w:sz w:val="32"/>
          <w:szCs w:val="24"/>
          <w:lang w:val="en-US" w:eastAsia="zh-CN" w:bidi="ar-SA"/>
        </w:rPr>
        <w:t>针对外卖，要求确保菜品在打包过程中的完整性和卫生，并附上详细的食用说明和文化介绍卡片，是为了克服外卖的局限性，尽可能将堂食的文化体验通过图文形式传递给消费者，维护品牌形象的统一性。</w:t>
      </w:r>
    </w:p>
    <w:p w14:paraId="3E83C184">
      <w:pPr>
        <w:numPr>
          <w:ilvl w:val="0"/>
          <w:numId w:val="0"/>
        </w:numPr>
        <w:autoSpaceDE w:val="0"/>
        <w:autoSpaceDN w:val="0"/>
        <w:adjustRightInd w:val="0"/>
        <w:spacing w:line="560" w:lineRule="exact"/>
        <w:ind w:firstLine="640" w:firstLineChars="200"/>
        <w:jc w:val="left"/>
        <w:rPr>
          <w:rFonts w:hint="default" w:ascii="黑体" w:hAnsi="黑体" w:eastAsia="黑体" w:cs="仿宋_GB2312"/>
          <w:kern w:val="2"/>
          <w:sz w:val="32"/>
          <w:szCs w:val="32"/>
          <w:highlight w:val="none"/>
          <w:lang w:val="en-US" w:eastAsia="zh-CN" w:bidi="ar-SA"/>
        </w:rPr>
      </w:pPr>
      <w:r>
        <w:rPr>
          <w:rFonts w:hint="eastAsia" w:ascii="黑体" w:hAnsi="黑体" w:eastAsia="黑体" w:cs="仿宋_GB2312"/>
          <w:kern w:val="2"/>
          <w:sz w:val="32"/>
          <w:szCs w:val="32"/>
          <w:highlight w:val="none"/>
          <w:lang w:val="zh-CN" w:eastAsia="zh-CN" w:bidi="ar-SA"/>
        </w:rPr>
        <w:t>（</w:t>
      </w:r>
      <w:r>
        <w:rPr>
          <w:rFonts w:hint="eastAsia" w:ascii="黑体" w:hAnsi="黑体" w:eastAsia="黑体" w:cs="仿宋_GB2312"/>
          <w:kern w:val="2"/>
          <w:sz w:val="32"/>
          <w:szCs w:val="32"/>
          <w:highlight w:val="none"/>
          <w:lang w:val="en-US" w:eastAsia="zh-CN" w:bidi="ar-SA"/>
        </w:rPr>
        <w:t>四</w:t>
      </w:r>
      <w:r>
        <w:rPr>
          <w:rFonts w:hint="eastAsia" w:ascii="黑体" w:hAnsi="黑体" w:eastAsia="黑体" w:cs="仿宋_GB2312"/>
          <w:kern w:val="2"/>
          <w:sz w:val="32"/>
          <w:szCs w:val="32"/>
          <w:highlight w:val="none"/>
          <w:lang w:val="zh-CN" w:eastAsia="zh-CN" w:bidi="ar-SA"/>
        </w:rPr>
        <w:t>）</w:t>
      </w:r>
      <w:r>
        <w:rPr>
          <w:rFonts w:hint="eastAsia" w:ascii="黑体" w:hAnsi="黑体" w:eastAsia="黑体" w:cs="仿宋_GB2312"/>
          <w:kern w:val="2"/>
          <w:sz w:val="32"/>
          <w:szCs w:val="32"/>
          <w:highlight w:val="none"/>
          <w:lang w:val="en-US" w:eastAsia="zh-CN" w:bidi="ar-SA"/>
        </w:rPr>
        <w:t>服务评价与改进</w:t>
      </w:r>
    </w:p>
    <w:p w14:paraId="5BB2B1E8">
      <w:pPr>
        <w:pStyle w:val="2"/>
        <w:ind w:firstLine="640" w:firstLineChars="200"/>
        <w:rPr>
          <w:rFonts w:hint="eastAsia" w:ascii="Times New Roman" w:hAnsi="Times New Roman" w:eastAsia="仿宋_GB2312" w:cs="Times New Roman"/>
          <w:snapToGrid w:val="0"/>
          <w:color w:val="auto"/>
          <w:kern w:val="2"/>
          <w:sz w:val="32"/>
          <w:szCs w:val="24"/>
          <w:lang w:val="zh-CN" w:eastAsia="zh-CN" w:bidi="ar-SA"/>
        </w:rPr>
      </w:pPr>
      <w:r>
        <w:rPr>
          <w:rFonts w:hint="eastAsia" w:ascii="Times New Roman" w:hAnsi="Times New Roman" w:eastAsia="仿宋_GB2312" w:cs="Times New Roman"/>
          <w:snapToGrid w:val="0"/>
          <w:color w:val="auto"/>
          <w:kern w:val="2"/>
          <w:sz w:val="32"/>
          <w:szCs w:val="24"/>
          <w:highlight w:val="none"/>
          <w:lang w:val="zh-CN" w:eastAsia="zh-CN" w:bidi="ar-SA"/>
        </w:rPr>
        <w:t>要求持续监测横县鱼生非</w:t>
      </w:r>
      <w:r>
        <w:rPr>
          <w:rFonts w:hint="eastAsia" w:ascii="Times New Roman" w:hAnsi="Times New Roman" w:eastAsia="仿宋_GB2312" w:cs="Times New Roman"/>
          <w:snapToGrid w:val="0"/>
          <w:color w:val="auto"/>
          <w:kern w:val="2"/>
          <w:sz w:val="32"/>
          <w:szCs w:val="24"/>
          <w:lang w:val="zh-CN" w:eastAsia="zh-CN" w:bidi="ar-SA"/>
        </w:rPr>
        <w:t>遗技术，包括但不限于传统刀工技法、秘制配料配方与制作工艺、独特摆盘艺术、传统食用礼仪与文化内涵。应定期开展顾客满意度调查，收集并汇总餐后对鱼生品质及服务的评价，同时记录改进建议。这是建立服务质量持续改进机制的重要措施，有助于不断提升服务水平和文化传播效果。</w:t>
      </w:r>
    </w:p>
    <w:p w14:paraId="539EF81F">
      <w:pPr>
        <w:pStyle w:val="2"/>
        <w:ind w:firstLine="640" w:firstLineChars="200"/>
        <w:rPr>
          <w:rFonts w:hint="eastAsia"/>
          <w:lang w:val="zh-CN"/>
        </w:rPr>
      </w:pPr>
      <w:r>
        <w:rPr>
          <w:rFonts w:hint="eastAsia" w:ascii="Times New Roman" w:hAnsi="Times New Roman" w:eastAsia="仿宋_GB2312" w:cs="Times New Roman"/>
          <w:snapToGrid w:val="0"/>
          <w:color w:val="auto"/>
          <w:kern w:val="2"/>
          <w:sz w:val="32"/>
          <w:szCs w:val="24"/>
          <w:lang w:val="zh-CN" w:eastAsia="zh-CN" w:bidi="ar-SA"/>
        </w:rPr>
        <w:t>将满意度调查表作为附录E，涵盖了菜品质量、服务质量、环境氛围、情感体验、价格与性价比、外卖体验等多个维度，为餐饮单位提供了系统评估服务质量的工具，体现了标准的实用性和可操作性。</w:t>
      </w:r>
    </w:p>
    <w:p w14:paraId="3DD5AAC0">
      <w:pPr>
        <w:autoSpaceDE w:val="0"/>
        <w:autoSpaceDN w:val="0"/>
        <w:adjustRightInd w:val="0"/>
        <w:spacing w:line="560" w:lineRule="exact"/>
        <w:ind w:firstLine="640"/>
        <w:jc w:val="left"/>
        <w:rPr>
          <w:rFonts w:hint="eastAsia" w:ascii="仿宋_GB2312" w:hAnsi="宋体"/>
          <w:szCs w:val="28"/>
        </w:rPr>
      </w:pPr>
      <w:bookmarkStart w:id="6" w:name="_Toc526940086"/>
      <w:r>
        <w:rPr>
          <w:rFonts w:hint="eastAsia" w:ascii="黑体" w:hAnsi="黑体" w:eastAsia="黑体" w:cs="仿宋_GB2312"/>
          <w:szCs w:val="32"/>
        </w:rPr>
        <w:t>六、</w:t>
      </w:r>
      <w:bookmarkEnd w:id="6"/>
      <w:r>
        <w:rPr>
          <w:rFonts w:hint="eastAsia" w:ascii="黑体" w:hAnsi="黑体" w:eastAsia="黑体" w:cs="仿宋_GB2312"/>
          <w:szCs w:val="32"/>
        </w:rPr>
        <w:t>重大分歧意见的处理经过和依据</w:t>
      </w:r>
    </w:p>
    <w:p w14:paraId="5C47EE62">
      <w:pPr>
        <w:spacing w:line="560" w:lineRule="exact"/>
        <w:ind w:firstLine="640"/>
        <w:rPr>
          <w:rFonts w:ascii="仿宋_GB2312" w:hAnsi="宋体"/>
          <w:szCs w:val="28"/>
        </w:rPr>
      </w:pPr>
      <w:r>
        <w:rPr>
          <w:rFonts w:hint="eastAsia" w:ascii="仿宋_GB2312" w:hAnsi="宋体"/>
          <w:szCs w:val="28"/>
          <w:lang w:val="en-US" w:eastAsia="zh-CN"/>
        </w:rPr>
        <w:t>本</w:t>
      </w:r>
      <w:r>
        <w:rPr>
          <w:rFonts w:hint="eastAsia" w:ascii="仿宋_GB2312" w:hAnsi="宋体"/>
          <w:szCs w:val="28"/>
        </w:rPr>
        <w:t>标准研制过程中无重大分歧意见。</w:t>
      </w:r>
    </w:p>
    <w:p w14:paraId="68E34AA8">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七</w:t>
      </w:r>
      <w:r>
        <w:rPr>
          <w:rFonts w:ascii="黑体" w:hAnsi="黑体" w:eastAsia="黑体" w:cs="仿宋_GB2312"/>
          <w:szCs w:val="32"/>
        </w:rPr>
        <w:t>、</w:t>
      </w:r>
      <w:r>
        <w:rPr>
          <w:rFonts w:hint="eastAsia" w:ascii="黑体" w:hAnsi="黑体" w:eastAsia="黑体" w:cs="仿宋_GB2312"/>
          <w:szCs w:val="32"/>
        </w:rPr>
        <w:t>实施标准的措施</w:t>
      </w:r>
    </w:p>
    <w:p w14:paraId="59A10F8F">
      <w:pPr>
        <w:spacing w:line="560" w:lineRule="exact"/>
        <w:ind w:firstLine="643"/>
        <w:rPr>
          <w:rFonts w:ascii="仿宋_GB2312" w:hAnsi="宋体"/>
          <w:b/>
          <w:szCs w:val="28"/>
        </w:rPr>
      </w:pPr>
      <w:r>
        <w:rPr>
          <w:rFonts w:hint="eastAsia" w:ascii="仿宋_GB2312" w:hAnsi="宋体"/>
          <w:b/>
          <w:szCs w:val="28"/>
        </w:rPr>
        <w:t>（一）标准报批发布后，成立标准宣贯工作组</w:t>
      </w:r>
    </w:p>
    <w:p w14:paraId="704AC243">
      <w:pPr>
        <w:spacing w:line="560" w:lineRule="exact"/>
        <w:ind w:firstLine="640"/>
        <w:rPr>
          <w:rFonts w:ascii="仿宋_GB2312" w:hAnsi="宋体"/>
          <w:szCs w:val="28"/>
        </w:rPr>
      </w:pPr>
      <w:r>
        <w:rPr>
          <w:rFonts w:hint="eastAsia" w:ascii="仿宋_GB2312" w:hAnsi="宋体"/>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83F636B">
      <w:pPr>
        <w:spacing w:line="560" w:lineRule="exact"/>
        <w:ind w:firstLine="643"/>
        <w:rPr>
          <w:rFonts w:ascii="仿宋_GB2312" w:hAnsi="宋体"/>
          <w:b/>
          <w:szCs w:val="28"/>
        </w:rPr>
      </w:pPr>
      <w:r>
        <w:rPr>
          <w:rFonts w:hint="eastAsia" w:ascii="仿宋_GB2312" w:hAnsi="宋体"/>
          <w:b/>
          <w:szCs w:val="28"/>
        </w:rPr>
        <w:t>（二）组织开展标准宣贯培训</w:t>
      </w:r>
    </w:p>
    <w:p w14:paraId="46DBC4E0">
      <w:pPr>
        <w:spacing w:line="560" w:lineRule="exact"/>
        <w:ind w:firstLine="640"/>
        <w:rPr>
          <w:rFonts w:ascii="仿宋_GB2312" w:hAnsi="宋体"/>
          <w:szCs w:val="28"/>
        </w:rPr>
      </w:pPr>
      <w:r>
        <w:rPr>
          <w:rFonts w:hint="eastAsia" w:ascii="仿宋_GB2312" w:hAnsi="宋体"/>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70DC3899">
      <w:pPr>
        <w:spacing w:line="560" w:lineRule="exact"/>
        <w:ind w:firstLine="643"/>
        <w:rPr>
          <w:rFonts w:ascii="仿宋_GB2312" w:hAnsi="宋体"/>
          <w:b/>
          <w:szCs w:val="28"/>
        </w:rPr>
      </w:pPr>
      <w:r>
        <w:rPr>
          <w:rFonts w:hint="eastAsia" w:ascii="仿宋_GB2312" w:hAnsi="宋体"/>
          <w:b/>
          <w:szCs w:val="28"/>
        </w:rPr>
        <w:t>（三）开展标准实施交流会，收集标准实施反馈信息</w:t>
      </w:r>
    </w:p>
    <w:p w14:paraId="64D080DE">
      <w:pPr>
        <w:spacing w:line="560" w:lineRule="exact"/>
        <w:ind w:firstLine="640"/>
        <w:rPr>
          <w:rFonts w:ascii="仿宋_GB2312" w:hAnsi="宋体"/>
          <w:szCs w:val="28"/>
        </w:rPr>
      </w:pPr>
      <w:r>
        <w:rPr>
          <w:rFonts w:hint="eastAsia" w:ascii="仿宋_GB2312" w:hAnsi="宋体"/>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35EEF694">
      <w:pPr>
        <w:spacing w:line="560" w:lineRule="exact"/>
        <w:ind w:firstLine="643"/>
        <w:rPr>
          <w:rFonts w:ascii="仿宋_GB2312" w:hAnsi="宋体"/>
          <w:b/>
          <w:szCs w:val="28"/>
        </w:rPr>
      </w:pPr>
      <w:r>
        <w:rPr>
          <w:rFonts w:hint="eastAsia" w:ascii="仿宋_GB2312" w:hAnsi="宋体"/>
          <w:b/>
          <w:szCs w:val="28"/>
        </w:rPr>
        <w:t>（四）开展标准实施效果评估</w:t>
      </w:r>
    </w:p>
    <w:p w14:paraId="6AA1E24A">
      <w:pPr>
        <w:spacing w:line="560" w:lineRule="exact"/>
        <w:ind w:firstLine="640"/>
        <w:rPr>
          <w:rFonts w:ascii="仿宋_GB2312" w:hAnsi="宋体"/>
          <w:szCs w:val="28"/>
        </w:rPr>
      </w:pPr>
      <w:r>
        <w:rPr>
          <w:rFonts w:hint="eastAsia" w:ascii="仿宋_GB2312" w:hAnsi="宋体"/>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2103989">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276DBD2D">
      <w:pPr>
        <w:spacing w:line="560" w:lineRule="exact"/>
        <w:ind w:firstLine="640"/>
        <w:rPr>
          <w:rFonts w:ascii="仿宋_GB2312" w:hAnsi="宋体"/>
          <w:szCs w:val="28"/>
        </w:rPr>
      </w:pPr>
      <w:r>
        <w:rPr>
          <w:rFonts w:hint="eastAsia" w:ascii="仿宋_GB2312" w:hAnsi="宋体"/>
          <w:szCs w:val="28"/>
        </w:rPr>
        <w:t>无。</w:t>
      </w:r>
    </w:p>
    <w:p w14:paraId="478F5933">
      <w:pPr>
        <w:spacing w:line="560" w:lineRule="exact"/>
        <w:ind w:firstLine="0" w:firstLineChars="0"/>
        <w:rPr>
          <w:rFonts w:ascii="仿宋_GB2312" w:hAnsi="仿宋"/>
          <w:bCs/>
          <w:color w:val="000000"/>
          <w:sz w:val="36"/>
          <w:szCs w:val="32"/>
        </w:rPr>
      </w:pPr>
    </w:p>
    <w:p w14:paraId="2A10E874">
      <w:pPr>
        <w:spacing w:line="560" w:lineRule="exact"/>
        <w:ind w:firstLine="640"/>
        <w:jc w:val="right"/>
        <w:rPr>
          <w:rFonts w:ascii="仿宋_GB2312" w:hAnsi="宋体"/>
          <w:szCs w:val="28"/>
        </w:rPr>
      </w:pPr>
      <w:r>
        <w:rPr>
          <w:rFonts w:hint="eastAsia" w:ascii="仿宋_GB2312" w:hAnsi="宋体"/>
          <w:szCs w:val="28"/>
        </w:rPr>
        <w:t>团体标准《</w:t>
      </w:r>
      <w:r>
        <w:rPr>
          <w:rFonts w:hint="eastAsia" w:ascii="仿宋_GB2312" w:hAnsi="宋体"/>
          <w:szCs w:val="28"/>
          <w:lang w:eastAsia="zh-CN"/>
        </w:rPr>
        <w:t>横县鱼生全链条管理规范  第4部分：餐饮服务</w:t>
      </w:r>
      <w:r>
        <w:rPr>
          <w:rFonts w:hint="eastAsia" w:ascii="仿宋_GB2312" w:hAnsi="宋体"/>
          <w:szCs w:val="28"/>
        </w:rPr>
        <w:t>》</w:t>
      </w:r>
    </w:p>
    <w:p w14:paraId="5034BF31">
      <w:pPr>
        <w:spacing w:line="560" w:lineRule="exact"/>
        <w:ind w:firstLine="640"/>
        <w:jc w:val="right"/>
        <w:rPr>
          <w:rFonts w:ascii="仿宋_GB2312" w:hAnsi="宋体"/>
          <w:szCs w:val="28"/>
        </w:rPr>
      </w:pPr>
      <w:r>
        <w:rPr>
          <w:rFonts w:hint="eastAsia" w:ascii="仿宋_GB2312" w:hAnsi="宋体"/>
          <w:szCs w:val="28"/>
        </w:rPr>
        <w:t>标准编制工作组</w:t>
      </w:r>
    </w:p>
    <w:p w14:paraId="2F633B1B">
      <w:pPr>
        <w:spacing w:line="560" w:lineRule="exact"/>
        <w:ind w:firstLine="640"/>
        <w:jc w:val="right"/>
        <w:rPr>
          <w:rFonts w:ascii="仿宋_GB2312" w:hAnsi="宋体"/>
          <w:szCs w:val="28"/>
        </w:rPr>
      </w:pPr>
      <w:r>
        <w:rPr>
          <w:rFonts w:hint="eastAsia" w:ascii="仿宋_GB2312" w:hAnsi="宋体"/>
          <w:szCs w:val="28"/>
        </w:rPr>
        <w:t>2025年8月</w:t>
      </w:r>
      <w:r>
        <w:rPr>
          <w:rFonts w:hint="eastAsia" w:ascii="仿宋_GB2312" w:hAnsi="宋体"/>
          <w:szCs w:val="28"/>
          <w:lang w:val="en-US" w:eastAsia="zh-CN"/>
        </w:rPr>
        <w:t>30</w:t>
      </w:r>
      <w:r>
        <w:rPr>
          <w:rFonts w:hint="eastAsia" w:ascii="仿宋_GB2312" w:hAnsi="宋体"/>
          <w:szCs w:val="28"/>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737FDE56">
        <w:pPr>
          <w:pStyle w:val="5"/>
          <w:ind w:firstLine="360"/>
          <w:jc w:val="center"/>
        </w:pPr>
        <w:r>
          <w:fldChar w:fldCharType="begin"/>
        </w:r>
        <w:r>
          <w:instrText xml:space="preserve">PAGE   \* MERGEFORMAT</w:instrText>
        </w:r>
        <w:r>
          <w:fldChar w:fldCharType="separate"/>
        </w:r>
        <w:r>
          <w:rPr>
            <w:lang w:val="zh-CN"/>
          </w:rPr>
          <w:t>2</w:t>
        </w:r>
        <w:r>
          <w:fldChar w:fldCharType="end"/>
        </w:r>
      </w:p>
    </w:sdtContent>
  </w:sdt>
  <w:p w14:paraId="729BD9C8">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A7467">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66E1">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791F9">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239AC">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0E250">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E7D34"/>
    <w:multiLevelType w:val="multilevel"/>
    <w:tmpl w:val="BFCE7D34"/>
    <w:lvl w:ilvl="0" w:tentative="0">
      <w:start w:val="1"/>
      <w:numFmt w:val="upperLetter"/>
      <w:suff w:val="space"/>
      <w:lvlText w:val="%1"/>
      <w:lvlJc w:val="left"/>
      <w:pPr>
        <w:ind w:left="425" w:hanging="425"/>
      </w:pPr>
    </w:lvl>
    <w:lvl w:ilvl="1" w:tentative="0">
      <w:start w:val="1"/>
      <w:numFmt w:val="decimal"/>
      <w:pStyle w:val="47"/>
      <w:suff w:val="space"/>
      <w:lvlText w:val="表%1.%2"/>
      <w:lvlJc w:val="center"/>
      <w:pPr>
        <w:ind w:left="0" w:firstLine="0"/>
      </w:pPr>
      <w:rPr>
        <w:rFonts w:hint="eastAsia" w:ascii="黑体" w:hAnsi="Times New Roman" w:eastAsia="黑体" w:cs="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5"/>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E09D9079"/>
    <w:multiLevelType w:val="multilevel"/>
    <w:tmpl w:val="E09D9079"/>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5"/>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E6F4C356"/>
    <w:multiLevelType w:val="multilevel"/>
    <w:tmpl w:val="E6F4C356"/>
    <w:lvl w:ilvl="0" w:tentative="0">
      <w:start w:val="1"/>
      <w:numFmt w:val="none"/>
      <w:pStyle w:val="48"/>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3">
    <w:nsid w:val="EC520B8A"/>
    <w:multiLevelType w:val="multilevel"/>
    <w:tmpl w:val="EC520B8A"/>
    <w:lvl w:ilvl="0" w:tentative="0">
      <w:start w:val="1"/>
      <w:numFmt w:val="none"/>
      <w:suff w:val="nothing"/>
      <w:lvlText w:val="%1"/>
      <w:lvlJc w:val="left"/>
      <w:pPr>
        <w:tabs>
          <w:tab w:val="left" w:pos="0"/>
        </w:tabs>
        <w:ind w:left="0" w:firstLine="0"/>
      </w:pPr>
      <w:rPr>
        <w:rFonts w:cs="Times New Roman"/>
      </w:rPr>
    </w:lvl>
    <w:lvl w:ilvl="1" w:tentative="0">
      <w:start w:val="1"/>
      <w:numFmt w:val="decimal"/>
      <w:suff w:val="nothing"/>
      <w:lvlText w:val="%1%2　"/>
      <w:lvlJc w:val="left"/>
      <w:pPr>
        <w:tabs>
          <w:tab w:val="left" w:pos="0"/>
        </w:tabs>
        <w:ind w:left="0" w:firstLine="0"/>
      </w:pPr>
      <w:rPr>
        <w:rFonts w:hint="eastAsia" w:ascii="黑体" w:hAnsi="Times New Roman" w:eastAsia="黑体" w:cs="Times New Roman"/>
        <w:b w:val="0"/>
        <w:i w:val="0"/>
        <w:sz w:val="21"/>
      </w:rPr>
    </w:lvl>
    <w:lvl w:ilvl="2" w:tentative="0">
      <w:start w:val="1"/>
      <w:numFmt w:val="decimal"/>
      <w:pStyle w:val="39"/>
      <w:suff w:val="nothing"/>
      <w:lvlText w:val="%1%2.%3　"/>
      <w:lvlJc w:val="left"/>
      <w:pPr>
        <w:tabs>
          <w:tab w:val="left" w:pos="0"/>
        </w:tabs>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tabs>
          <w:tab w:val="left" w:pos="0"/>
        </w:tabs>
        <w:ind w:left="0" w:firstLine="0"/>
      </w:pPr>
      <w:rPr>
        <w:rFonts w:hint="eastAsia" w:ascii="黑体" w:hAnsi="Times New Roman" w:eastAsia="黑体" w:cs="Times New Roman"/>
        <w:b w:val="0"/>
        <w:i w:val="0"/>
        <w:sz w:val="21"/>
      </w:rPr>
    </w:lvl>
    <w:lvl w:ilvl="4" w:tentative="0">
      <w:start w:val="1"/>
      <w:numFmt w:val="decimal"/>
      <w:suff w:val="nothing"/>
      <w:lvlText w:val="%1%2.%3.%4.%5　"/>
      <w:lvlJc w:val="left"/>
      <w:pPr>
        <w:tabs>
          <w:tab w:val="left" w:pos="0"/>
        </w:tabs>
        <w:ind w:left="0" w:firstLine="0"/>
      </w:pPr>
      <w:rPr>
        <w:rFonts w:hint="eastAsia" w:ascii="黑体" w:hAnsi="Times New Roman" w:eastAsia="黑体" w:cs="Times New Roman"/>
        <w:b w:val="0"/>
        <w:i w:val="0"/>
        <w:sz w:val="21"/>
      </w:rPr>
    </w:lvl>
    <w:lvl w:ilvl="5" w:tentative="0">
      <w:start w:val="1"/>
      <w:numFmt w:val="decimal"/>
      <w:suff w:val="nothing"/>
      <w:lvlText w:val="%1%2.%3.%4.%5.%6　"/>
      <w:lvlJc w:val="left"/>
      <w:pPr>
        <w:tabs>
          <w:tab w:val="left" w:pos="0"/>
        </w:tabs>
        <w:ind w:left="0" w:firstLine="0"/>
      </w:pPr>
      <w:rPr>
        <w:rFonts w:hint="eastAsia" w:ascii="黑体" w:hAnsi="Times New Roman" w:eastAsia="黑体" w:cs="Times New Roman"/>
        <w:b w:val="0"/>
        <w:i w:val="0"/>
        <w:sz w:val="21"/>
      </w:rPr>
    </w:lvl>
    <w:lvl w:ilvl="6" w:tentative="0">
      <w:start w:val="1"/>
      <w:numFmt w:val="decimal"/>
      <w:suff w:val="nothing"/>
      <w:lvlText w:val="%1%2.%3.%4.%5.%6.%7　"/>
      <w:lvlJc w:val="left"/>
      <w:pPr>
        <w:tabs>
          <w:tab w:val="left" w:pos="0"/>
        </w:tabs>
        <w:ind w:left="0" w:firstLine="0"/>
      </w:pPr>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72" w:hanging="1418"/>
      </w:pPr>
      <w:rPr>
        <w:rFonts w:cs="Times New Roman"/>
      </w:rPr>
    </w:lvl>
    <w:lvl w:ilvl="8" w:tentative="0">
      <w:start w:val="1"/>
      <w:numFmt w:val="decimal"/>
      <w:lvlText w:val="%1.%2.%3.%4.%5.%6.%7.%8.%9"/>
      <w:lvlJc w:val="left"/>
      <w:pPr>
        <w:tabs>
          <w:tab w:val="left" w:pos="4777"/>
        </w:tabs>
        <w:ind w:left="4677" w:hanging="1700"/>
      </w:pPr>
      <w:rPr>
        <w:rFonts w:cs="Times New Roman"/>
      </w:rPr>
    </w:lvl>
  </w:abstractNum>
  <w:abstractNum w:abstractNumId="4">
    <w:nsid w:val="079102AD"/>
    <w:multiLevelType w:val="multilevel"/>
    <w:tmpl w:val="079102AD"/>
    <w:lvl w:ilvl="0" w:tentative="0">
      <w:start w:val="1"/>
      <w:numFmt w:val="decimal"/>
      <w:pStyle w:val="2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DDE2B46"/>
    <w:multiLevelType w:val="multilevel"/>
    <w:tmpl w:val="0DDE2B46"/>
    <w:lvl w:ilvl="0" w:tentative="0">
      <w:start w:val="1"/>
      <w:numFmt w:val="lowerLetter"/>
      <w:pStyle w:val="26"/>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9A288B3"/>
    <w:multiLevelType w:val="multilevel"/>
    <w:tmpl w:val="19A288B3"/>
    <w:lvl w:ilvl="0" w:tentative="0">
      <w:start w:val="1"/>
      <w:numFmt w:val="upperLetter"/>
      <w:suff w:val="nothing"/>
      <w:lvlText w:val="附录%1"/>
      <w:lvlJc w:val="left"/>
      <w:pPr>
        <w:ind w:left="0" w:firstLine="0"/>
      </w:pPr>
      <w:rPr>
        <w:spacing w:val="100"/>
      </w:rPr>
    </w:lvl>
    <w:lvl w:ilvl="1" w:tentative="0">
      <w:start w:val="1"/>
      <w:numFmt w:val="decimal"/>
      <w:pStyle w:val="46"/>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1DBF583A"/>
    <w:multiLevelType w:val="multilevel"/>
    <w:tmpl w:val="1DBF583A"/>
    <w:lvl w:ilvl="0" w:tentative="0">
      <w:start w:val="1"/>
      <w:numFmt w:val="decimal"/>
      <w:pStyle w:val="2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tentative="0">
      <w:start w:val="1"/>
      <w:numFmt w:val="upperLetter"/>
      <w:pStyle w:val="23"/>
      <w:suff w:val="space"/>
      <w:lvlText w:val="%1"/>
      <w:lvlJc w:val="left"/>
      <w:pPr>
        <w:ind w:left="623" w:hanging="425"/>
      </w:pPr>
      <w:rPr>
        <w:rFonts w:hint="eastAsia"/>
      </w:rPr>
    </w:lvl>
    <w:lvl w:ilvl="1" w:tentative="0">
      <w:start w:val="1"/>
      <w:numFmt w:val="decimal"/>
      <w:pStyle w:val="2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34FD0FF7"/>
    <w:multiLevelType w:val="multilevel"/>
    <w:tmpl w:val="34FD0FF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2"/>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1">
    <w:nsid w:val="557C2AF5"/>
    <w:multiLevelType w:val="multilevel"/>
    <w:tmpl w:val="557C2AF5"/>
    <w:lvl w:ilvl="0" w:tentative="0">
      <w:start w:val="1"/>
      <w:numFmt w:val="decimal"/>
      <w:pStyle w:val="1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B36EB98"/>
    <w:multiLevelType w:val="multilevel"/>
    <w:tmpl w:val="5B36EB98"/>
    <w:lvl w:ilvl="0" w:tentative="0">
      <w:start w:val="1"/>
      <w:numFmt w:val="none"/>
      <w:pStyle w:val="43"/>
      <w:lvlText w:val="%1——"/>
      <w:lvlJc w:val="left"/>
      <w:pPr>
        <w:tabs>
          <w:tab w:val="left" w:pos="851"/>
        </w:tabs>
        <w:ind w:left="851" w:hanging="426"/>
      </w:pPr>
      <w:rPr>
        <w:rFonts w:hint="eastAsia" w:ascii="宋体" w:hAnsi="Times New Roman" w:eastAsia="宋体" w:cs="宋体"/>
        <w:b w:val="0"/>
        <w:i w:val="0"/>
        <w:sz w:val="21"/>
      </w:rPr>
    </w:lvl>
    <w:lvl w:ilvl="1" w:tentative="0">
      <w:start w:val="1"/>
      <w:numFmt w:val="none"/>
      <w:lvlText w:val=""/>
      <w:lvlJc w:val="left"/>
      <w:pPr>
        <w:ind w:left="851" w:hanging="431"/>
      </w:pPr>
      <w:rPr>
        <w:rFonts w:ascii="Symbol" w:hAnsi="Symbol" w:cs="Symbol"/>
        <w:sz w:val="21"/>
      </w:rPr>
    </w:lvl>
    <w:lvl w:ilvl="2" w:tentative="0">
      <w:start w:val="1"/>
      <w:numFmt w:val="bullet"/>
      <w:lvlText w:val=""/>
      <w:lvlJc w:val="left"/>
      <w:pPr>
        <w:ind w:left="851" w:hanging="426"/>
      </w:pPr>
      <w:rPr>
        <w:rFonts w:hint="default" w:ascii="Wingdings" w:hAnsi="Wingdings" w:cs="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3">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1"/>
      <w:suff w:val="nothing"/>
      <w:lvlText w:val="%1%2　"/>
      <w:lvlJc w:val="left"/>
      <w:pPr>
        <w:ind w:left="0" w:firstLine="0"/>
      </w:pPr>
      <w:rPr>
        <w:rFonts w:hint="eastAsia" w:ascii="黑体"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4"/>
  </w:num>
  <w:num w:numId="2">
    <w:abstractNumId w:val="11"/>
  </w:num>
  <w:num w:numId="3">
    <w:abstractNumId w:val="8"/>
  </w:num>
  <w:num w:numId="4">
    <w:abstractNumId w:val="4"/>
  </w:num>
  <w:num w:numId="5">
    <w:abstractNumId w:val="9"/>
  </w:num>
  <w:num w:numId="6">
    <w:abstractNumId w:val="7"/>
  </w:num>
  <w:num w:numId="7">
    <w:abstractNumId w:val="5"/>
  </w:num>
  <w:num w:numId="8">
    <w:abstractNumId w:val="13"/>
  </w:num>
  <w:num w:numId="9">
    <w:abstractNumId w:val="3"/>
  </w:num>
  <w:num w:numId="10">
    <w:abstractNumId w:val="15"/>
  </w:num>
  <w:num w:numId="11">
    <w:abstractNumId w:val="10"/>
  </w:num>
  <w:num w:numId="12">
    <w:abstractNumId w:val="12"/>
  </w:num>
  <w:num w:numId="13">
    <w:abstractNumId w:val="1"/>
  </w:num>
  <w:num w:numId="14">
    <w:abstractNumId w:val="6"/>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6C7D"/>
    <w:rsid w:val="000576D0"/>
    <w:rsid w:val="00057758"/>
    <w:rsid w:val="00060FE2"/>
    <w:rsid w:val="0007330D"/>
    <w:rsid w:val="00073F72"/>
    <w:rsid w:val="00074EB1"/>
    <w:rsid w:val="00076BBA"/>
    <w:rsid w:val="00080F2F"/>
    <w:rsid w:val="0008145A"/>
    <w:rsid w:val="0009177A"/>
    <w:rsid w:val="0009191C"/>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4F56"/>
    <w:rsid w:val="00126CA6"/>
    <w:rsid w:val="001273E7"/>
    <w:rsid w:val="00127EB0"/>
    <w:rsid w:val="00131B03"/>
    <w:rsid w:val="00132C5F"/>
    <w:rsid w:val="00133342"/>
    <w:rsid w:val="00133786"/>
    <w:rsid w:val="00134DD4"/>
    <w:rsid w:val="001435D3"/>
    <w:rsid w:val="001449B5"/>
    <w:rsid w:val="001463AC"/>
    <w:rsid w:val="00151076"/>
    <w:rsid w:val="0015152A"/>
    <w:rsid w:val="00156020"/>
    <w:rsid w:val="00156663"/>
    <w:rsid w:val="00157520"/>
    <w:rsid w:val="001611BB"/>
    <w:rsid w:val="00167167"/>
    <w:rsid w:val="001708F8"/>
    <w:rsid w:val="0018112C"/>
    <w:rsid w:val="00183467"/>
    <w:rsid w:val="0018451D"/>
    <w:rsid w:val="00190A64"/>
    <w:rsid w:val="00190C6A"/>
    <w:rsid w:val="00191774"/>
    <w:rsid w:val="00191DCE"/>
    <w:rsid w:val="001923CF"/>
    <w:rsid w:val="001925FD"/>
    <w:rsid w:val="00192FF7"/>
    <w:rsid w:val="001930A1"/>
    <w:rsid w:val="00194FE3"/>
    <w:rsid w:val="00196054"/>
    <w:rsid w:val="0019711F"/>
    <w:rsid w:val="001A0DBF"/>
    <w:rsid w:val="001A3402"/>
    <w:rsid w:val="001B0E92"/>
    <w:rsid w:val="001B36E5"/>
    <w:rsid w:val="001B3B17"/>
    <w:rsid w:val="001C5F01"/>
    <w:rsid w:val="001C793C"/>
    <w:rsid w:val="001D2198"/>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478AF"/>
    <w:rsid w:val="002526F3"/>
    <w:rsid w:val="00254F7A"/>
    <w:rsid w:val="00256FE0"/>
    <w:rsid w:val="002614C6"/>
    <w:rsid w:val="002621E1"/>
    <w:rsid w:val="00262753"/>
    <w:rsid w:val="00262771"/>
    <w:rsid w:val="00262F6C"/>
    <w:rsid w:val="00264A7D"/>
    <w:rsid w:val="00264CE4"/>
    <w:rsid w:val="002651A9"/>
    <w:rsid w:val="00266090"/>
    <w:rsid w:val="002674A8"/>
    <w:rsid w:val="0027235B"/>
    <w:rsid w:val="00277C35"/>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618"/>
    <w:rsid w:val="002C4FFB"/>
    <w:rsid w:val="002C5534"/>
    <w:rsid w:val="002C611B"/>
    <w:rsid w:val="002C73B6"/>
    <w:rsid w:val="002D2662"/>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1AEE"/>
    <w:rsid w:val="003144B8"/>
    <w:rsid w:val="00314640"/>
    <w:rsid w:val="00327623"/>
    <w:rsid w:val="0033375C"/>
    <w:rsid w:val="0034090F"/>
    <w:rsid w:val="00343C24"/>
    <w:rsid w:val="00344E17"/>
    <w:rsid w:val="00345BCC"/>
    <w:rsid w:val="00352D8D"/>
    <w:rsid w:val="00353735"/>
    <w:rsid w:val="00354D06"/>
    <w:rsid w:val="00356D19"/>
    <w:rsid w:val="00357A1D"/>
    <w:rsid w:val="00357E18"/>
    <w:rsid w:val="0036001E"/>
    <w:rsid w:val="00360952"/>
    <w:rsid w:val="003620B6"/>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C74"/>
    <w:rsid w:val="003C2D44"/>
    <w:rsid w:val="003C483D"/>
    <w:rsid w:val="003C642C"/>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15729"/>
    <w:rsid w:val="0042062E"/>
    <w:rsid w:val="00424AF1"/>
    <w:rsid w:val="00424FCB"/>
    <w:rsid w:val="00425860"/>
    <w:rsid w:val="00427B81"/>
    <w:rsid w:val="00434E46"/>
    <w:rsid w:val="00434F90"/>
    <w:rsid w:val="004378E4"/>
    <w:rsid w:val="0044118D"/>
    <w:rsid w:val="004441BD"/>
    <w:rsid w:val="004503F4"/>
    <w:rsid w:val="004535ED"/>
    <w:rsid w:val="0045483D"/>
    <w:rsid w:val="00455661"/>
    <w:rsid w:val="0046025A"/>
    <w:rsid w:val="00460359"/>
    <w:rsid w:val="004605D8"/>
    <w:rsid w:val="004626AF"/>
    <w:rsid w:val="00462BA6"/>
    <w:rsid w:val="00465230"/>
    <w:rsid w:val="00467DEF"/>
    <w:rsid w:val="004715D8"/>
    <w:rsid w:val="00475C51"/>
    <w:rsid w:val="004805D0"/>
    <w:rsid w:val="00480BA1"/>
    <w:rsid w:val="00481328"/>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B31EC"/>
    <w:rsid w:val="004C4136"/>
    <w:rsid w:val="004D155D"/>
    <w:rsid w:val="004D2302"/>
    <w:rsid w:val="004D393C"/>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16AFA"/>
    <w:rsid w:val="00526200"/>
    <w:rsid w:val="005269CF"/>
    <w:rsid w:val="00533886"/>
    <w:rsid w:val="0053418A"/>
    <w:rsid w:val="00535AC6"/>
    <w:rsid w:val="00537550"/>
    <w:rsid w:val="00541E4A"/>
    <w:rsid w:val="0054317B"/>
    <w:rsid w:val="00546DEA"/>
    <w:rsid w:val="00550145"/>
    <w:rsid w:val="005639F8"/>
    <w:rsid w:val="005656AA"/>
    <w:rsid w:val="00566C87"/>
    <w:rsid w:val="005742DB"/>
    <w:rsid w:val="00577C08"/>
    <w:rsid w:val="005802BD"/>
    <w:rsid w:val="0058151C"/>
    <w:rsid w:val="00581CE7"/>
    <w:rsid w:val="00582F5C"/>
    <w:rsid w:val="0058472C"/>
    <w:rsid w:val="005870E5"/>
    <w:rsid w:val="005873D6"/>
    <w:rsid w:val="005876DE"/>
    <w:rsid w:val="00593466"/>
    <w:rsid w:val="00596702"/>
    <w:rsid w:val="005977DE"/>
    <w:rsid w:val="005A1A17"/>
    <w:rsid w:val="005A4523"/>
    <w:rsid w:val="005A4707"/>
    <w:rsid w:val="005B0CDC"/>
    <w:rsid w:val="005B2261"/>
    <w:rsid w:val="005B23F7"/>
    <w:rsid w:val="005B7128"/>
    <w:rsid w:val="005B76D5"/>
    <w:rsid w:val="005B7B7E"/>
    <w:rsid w:val="005C468E"/>
    <w:rsid w:val="005D06D6"/>
    <w:rsid w:val="005D1EE1"/>
    <w:rsid w:val="005D2762"/>
    <w:rsid w:val="005D2AEE"/>
    <w:rsid w:val="005D3F96"/>
    <w:rsid w:val="005D5DDF"/>
    <w:rsid w:val="005D6A5C"/>
    <w:rsid w:val="005D7CDB"/>
    <w:rsid w:val="005E05D4"/>
    <w:rsid w:val="005E207A"/>
    <w:rsid w:val="005E2143"/>
    <w:rsid w:val="005F0995"/>
    <w:rsid w:val="005F1E35"/>
    <w:rsid w:val="005F36D9"/>
    <w:rsid w:val="005F4F92"/>
    <w:rsid w:val="005F6C71"/>
    <w:rsid w:val="005F71EC"/>
    <w:rsid w:val="005F7613"/>
    <w:rsid w:val="006038B2"/>
    <w:rsid w:val="006062AE"/>
    <w:rsid w:val="0060656D"/>
    <w:rsid w:val="00606B5A"/>
    <w:rsid w:val="00610884"/>
    <w:rsid w:val="00614347"/>
    <w:rsid w:val="006147DA"/>
    <w:rsid w:val="0062702A"/>
    <w:rsid w:val="006351A3"/>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2092"/>
    <w:rsid w:val="006B6EA3"/>
    <w:rsid w:val="006C0CC1"/>
    <w:rsid w:val="006C6B87"/>
    <w:rsid w:val="006C70ED"/>
    <w:rsid w:val="006D0354"/>
    <w:rsid w:val="006D4B56"/>
    <w:rsid w:val="006D4CCC"/>
    <w:rsid w:val="006D50EC"/>
    <w:rsid w:val="006D5788"/>
    <w:rsid w:val="006D5D5F"/>
    <w:rsid w:val="006E155C"/>
    <w:rsid w:val="006E65EC"/>
    <w:rsid w:val="006E7520"/>
    <w:rsid w:val="006F03ED"/>
    <w:rsid w:val="006F67E6"/>
    <w:rsid w:val="006F77F7"/>
    <w:rsid w:val="00700D32"/>
    <w:rsid w:val="0070138D"/>
    <w:rsid w:val="00701A2B"/>
    <w:rsid w:val="0070266E"/>
    <w:rsid w:val="00705429"/>
    <w:rsid w:val="00705F4C"/>
    <w:rsid w:val="0070730B"/>
    <w:rsid w:val="00712BC5"/>
    <w:rsid w:val="00715CA4"/>
    <w:rsid w:val="00716EAC"/>
    <w:rsid w:val="00720395"/>
    <w:rsid w:val="00722AAE"/>
    <w:rsid w:val="0072448B"/>
    <w:rsid w:val="007245EF"/>
    <w:rsid w:val="00726016"/>
    <w:rsid w:val="00726F82"/>
    <w:rsid w:val="00735B90"/>
    <w:rsid w:val="007432F4"/>
    <w:rsid w:val="0075401E"/>
    <w:rsid w:val="00755471"/>
    <w:rsid w:val="007556A8"/>
    <w:rsid w:val="00756686"/>
    <w:rsid w:val="00760DDA"/>
    <w:rsid w:val="00760FBD"/>
    <w:rsid w:val="00774780"/>
    <w:rsid w:val="007768A2"/>
    <w:rsid w:val="00776FE6"/>
    <w:rsid w:val="007812EA"/>
    <w:rsid w:val="00781F1A"/>
    <w:rsid w:val="00782C84"/>
    <w:rsid w:val="00784D8F"/>
    <w:rsid w:val="007912E9"/>
    <w:rsid w:val="007923BD"/>
    <w:rsid w:val="00793820"/>
    <w:rsid w:val="00794DE3"/>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4FCA"/>
    <w:rsid w:val="007D520B"/>
    <w:rsid w:val="007D5225"/>
    <w:rsid w:val="007D6192"/>
    <w:rsid w:val="007D646F"/>
    <w:rsid w:val="007E0035"/>
    <w:rsid w:val="007F05BA"/>
    <w:rsid w:val="007F1688"/>
    <w:rsid w:val="007F17C2"/>
    <w:rsid w:val="007F3051"/>
    <w:rsid w:val="007F445F"/>
    <w:rsid w:val="007F69C4"/>
    <w:rsid w:val="00800158"/>
    <w:rsid w:val="00800C49"/>
    <w:rsid w:val="008019FB"/>
    <w:rsid w:val="00805B1A"/>
    <w:rsid w:val="00812666"/>
    <w:rsid w:val="00816354"/>
    <w:rsid w:val="00825BEF"/>
    <w:rsid w:val="00826AFA"/>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202E"/>
    <w:rsid w:val="008C5328"/>
    <w:rsid w:val="008C6844"/>
    <w:rsid w:val="008D1502"/>
    <w:rsid w:val="008D2E6B"/>
    <w:rsid w:val="008D3059"/>
    <w:rsid w:val="008D44E2"/>
    <w:rsid w:val="008D5C1F"/>
    <w:rsid w:val="008D612C"/>
    <w:rsid w:val="008E0C90"/>
    <w:rsid w:val="008E340A"/>
    <w:rsid w:val="008E71FB"/>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8F3"/>
    <w:rsid w:val="00987A4E"/>
    <w:rsid w:val="00987C57"/>
    <w:rsid w:val="0099157B"/>
    <w:rsid w:val="0099188F"/>
    <w:rsid w:val="009926D7"/>
    <w:rsid w:val="00993328"/>
    <w:rsid w:val="00995822"/>
    <w:rsid w:val="00997A44"/>
    <w:rsid w:val="009A1FC7"/>
    <w:rsid w:val="009A7254"/>
    <w:rsid w:val="009B2BF4"/>
    <w:rsid w:val="009B52A3"/>
    <w:rsid w:val="009B53BA"/>
    <w:rsid w:val="009B609B"/>
    <w:rsid w:val="009B6F4E"/>
    <w:rsid w:val="009B6FA5"/>
    <w:rsid w:val="009B70E4"/>
    <w:rsid w:val="009B74CD"/>
    <w:rsid w:val="009D1F6F"/>
    <w:rsid w:val="009D38DB"/>
    <w:rsid w:val="009D3D0A"/>
    <w:rsid w:val="009D628E"/>
    <w:rsid w:val="009D62DE"/>
    <w:rsid w:val="009E1F06"/>
    <w:rsid w:val="009E5DEF"/>
    <w:rsid w:val="009E6B6B"/>
    <w:rsid w:val="009F212C"/>
    <w:rsid w:val="009F3B36"/>
    <w:rsid w:val="009F79E3"/>
    <w:rsid w:val="00A01A52"/>
    <w:rsid w:val="00A02A0A"/>
    <w:rsid w:val="00A04717"/>
    <w:rsid w:val="00A04E49"/>
    <w:rsid w:val="00A10236"/>
    <w:rsid w:val="00A10B7E"/>
    <w:rsid w:val="00A11E9D"/>
    <w:rsid w:val="00A1576E"/>
    <w:rsid w:val="00A1598C"/>
    <w:rsid w:val="00A15EDE"/>
    <w:rsid w:val="00A163CB"/>
    <w:rsid w:val="00A24789"/>
    <w:rsid w:val="00A25268"/>
    <w:rsid w:val="00A34924"/>
    <w:rsid w:val="00A35F3F"/>
    <w:rsid w:val="00A3755F"/>
    <w:rsid w:val="00A40234"/>
    <w:rsid w:val="00A4496C"/>
    <w:rsid w:val="00A51BDA"/>
    <w:rsid w:val="00A52FED"/>
    <w:rsid w:val="00A547EA"/>
    <w:rsid w:val="00A54EE3"/>
    <w:rsid w:val="00A60040"/>
    <w:rsid w:val="00A61125"/>
    <w:rsid w:val="00A64033"/>
    <w:rsid w:val="00A65635"/>
    <w:rsid w:val="00A66230"/>
    <w:rsid w:val="00A666E6"/>
    <w:rsid w:val="00A66B33"/>
    <w:rsid w:val="00A706DE"/>
    <w:rsid w:val="00A70BEA"/>
    <w:rsid w:val="00A7226B"/>
    <w:rsid w:val="00A74C23"/>
    <w:rsid w:val="00A77E2C"/>
    <w:rsid w:val="00A80575"/>
    <w:rsid w:val="00A806B3"/>
    <w:rsid w:val="00A80E57"/>
    <w:rsid w:val="00A82337"/>
    <w:rsid w:val="00A90118"/>
    <w:rsid w:val="00A90821"/>
    <w:rsid w:val="00A928C5"/>
    <w:rsid w:val="00A94CCD"/>
    <w:rsid w:val="00A955A3"/>
    <w:rsid w:val="00A958C2"/>
    <w:rsid w:val="00A95C9E"/>
    <w:rsid w:val="00A965CD"/>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29E3"/>
    <w:rsid w:val="00B17EA4"/>
    <w:rsid w:val="00B2376F"/>
    <w:rsid w:val="00B2401D"/>
    <w:rsid w:val="00B271E2"/>
    <w:rsid w:val="00B27F1E"/>
    <w:rsid w:val="00B320E0"/>
    <w:rsid w:val="00B32D83"/>
    <w:rsid w:val="00B35A2B"/>
    <w:rsid w:val="00B36102"/>
    <w:rsid w:val="00B40143"/>
    <w:rsid w:val="00B44598"/>
    <w:rsid w:val="00B44C87"/>
    <w:rsid w:val="00B4512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6C7D"/>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4C3E"/>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428"/>
    <w:rsid w:val="00C408D1"/>
    <w:rsid w:val="00C44645"/>
    <w:rsid w:val="00C50A3F"/>
    <w:rsid w:val="00C51474"/>
    <w:rsid w:val="00C51847"/>
    <w:rsid w:val="00C55C36"/>
    <w:rsid w:val="00C61072"/>
    <w:rsid w:val="00C6137D"/>
    <w:rsid w:val="00C61540"/>
    <w:rsid w:val="00C61B0C"/>
    <w:rsid w:val="00C634E4"/>
    <w:rsid w:val="00C67D4C"/>
    <w:rsid w:val="00C706FA"/>
    <w:rsid w:val="00C71FD7"/>
    <w:rsid w:val="00C808FE"/>
    <w:rsid w:val="00C81D18"/>
    <w:rsid w:val="00C82258"/>
    <w:rsid w:val="00C82744"/>
    <w:rsid w:val="00C836D9"/>
    <w:rsid w:val="00C84109"/>
    <w:rsid w:val="00C843F0"/>
    <w:rsid w:val="00C85F66"/>
    <w:rsid w:val="00C87F51"/>
    <w:rsid w:val="00C95F0B"/>
    <w:rsid w:val="00C96EE4"/>
    <w:rsid w:val="00CA0CFD"/>
    <w:rsid w:val="00CA37C8"/>
    <w:rsid w:val="00CA5047"/>
    <w:rsid w:val="00CA7C2A"/>
    <w:rsid w:val="00CC1221"/>
    <w:rsid w:val="00CC4EE7"/>
    <w:rsid w:val="00CC6DD2"/>
    <w:rsid w:val="00CD4CC6"/>
    <w:rsid w:val="00CD58FA"/>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37490"/>
    <w:rsid w:val="00D41F8D"/>
    <w:rsid w:val="00D451AB"/>
    <w:rsid w:val="00D50991"/>
    <w:rsid w:val="00D578AF"/>
    <w:rsid w:val="00D61DA0"/>
    <w:rsid w:val="00D65D7A"/>
    <w:rsid w:val="00D6793A"/>
    <w:rsid w:val="00D7347C"/>
    <w:rsid w:val="00D74D7F"/>
    <w:rsid w:val="00D75348"/>
    <w:rsid w:val="00D80F6F"/>
    <w:rsid w:val="00D820E3"/>
    <w:rsid w:val="00D863C9"/>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17FEE"/>
    <w:rsid w:val="00E261A4"/>
    <w:rsid w:val="00E26EE5"/>
    <w:rsid w:val="00E32815"/>
    <w:rsid w:val="00E33554"/>
    <w:rsid w:val="00E40596"/>
    <w:rsid w:val="00E40BA9"/>
    <w:rsid w:val="00E41B77"/>
    <w:rsid w:val="00E45EC3"/>
    <w:rsid w:val="00E47C4F"/>
    <w:rsid w:val="00E53BBB"/>
    <w:rsid w:val="00E541A3"/>
    <w:rsid w:val="00E637BB"/>
    <w:rsid w:val="00E638C8"/>
    <w:rsid w:val="00E658DD"/>
    <w:rsid w:val="00E65D7E"/>
    <w:rsid w:val="00E66D0F"/>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E419C"/>
    <w:rsid w:val="00EF52E8"/>
    <w:rsid w:val="00EF670C"/>
    <w:rsid w:val="00F0455E"/>
    <w:rsid w:val="00F1132A"/>
    <w:rsid w:val="00F11F09"/>
    <w:rsid w:val="00F1455B"/>
    <w:rsid w:val="00F14CEE"/>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34"/>
    <w:rsid w:val="00FF1DD7"/>
    <w:rsid w:val="00FF3775"/>
    <w:rsid w:val="00FF3996"/>
    <w:rsid w:val="01CE5D1C"/>
    <w:rsid w:val="026475DE"/>
    <w:rsid w:val="039E595D"/>
    <w:rsid w:val="06E15F8D"/>
    <w:rsid w:val="070F07F6"/>
    <w:rsid w:val="0765096C"/>
    <w:rsid w:val="08083403"/>
    <w:rsid w:val="081C3970"/>
    <w:rsid w:val="09BE5E2A"/>
    <w:rsid w:val="0A091F73"/>
    <w:rsid w:val="0A8504E9"/>
    <w:rsid w:val="0AF54E47"/>
    <w:rsid w:val="0B073D25"/>
    <w:rsid w:val="0C9D4EAB"/>
    <w:rsid w:val="0D92619C"/>
    <w:rsid w:val="0DEA65B5"/>
    <w:rsid w:val="0F412CA9"/>
    <w:rsid w:val="0FD566D2"/>
    <w:rsid w:val="13B2170D"/>
    <w:rsid w:val="13B97480"/>
    <w:rsid w:val="14034EB5"/>
    <w:rsid w:val="14870494"/>
    <w:rsid w:val="15085E8C"/>
    <w:rsid w:val="15174F60"/>
    <w:rsid w:val="1556095A"/>
    <w:rsid w:val="167D7F24"/>
    <w:rsid w:val="17306AB5"/>
    <w:rsid w:val="17373F64"/>
    <w:rsid w:val="19534DA3"/>
    <w:rsid w:val="19A054D6"/>
    <w:rsid w:val="1B0717C8"/>
    <w:rsid w:val="1BA03836"/>
    <w:rsid w:val="1BE33681"/>
    <w:rsid w:val="1CD01572"/>
    <w:rsid w:val="1DCB4E4A"/>
    <w:rsid w:val="1E1467F1"/>
    <w:rsid w:val="1FBDA86D"/>
    <w:rsid w:val="207417C9"/>
    <w:rsid w:val="21862EC6"/>
    <w:rsid w:val="237A2B2A"/>
    <w:rsid w:val="242D2C2D"/>
    <w:rsid w:val="25FBCF81"/>
    <w:rsid w:val="28FB2A87"/>
    <w:rsid w:val="29DF73C0"/>
    <w:rsid w:val="2C4F36F5"/>
    <w:rsid w:val="2D5F22BD"/>
    <w:rsid w:val="2F023095"/>
    <w:rsid w:val="2FF37D11"/>
    <w:rsid w:val="3013049D"/>
    <w:rsid w:val="332C3D99"/>
    <w:rsid w:val="334836EB"/>
    <w:rsid w:val="33484B1B"/>
    <w:rsid w:val="339259E4"/>
    <w:rsid w:val="33FD2358"/>
    <w:rsid w:val="365875C5"/>
    <w:rsid w:val="39356049"/>
    <w:rsid w:val="3A9E53BA"/>
    <w:rsid w:val="3B4E60E4"/>
    <w:rsid w:val="3BFE2074"/>
    <w:rsid w:val="3D442C1B"/>
    <w:rsid w:val="3F8C7277"/>
    <w:rsid w:val="3FA0222F"/>
    <w:rsid w:val="3FDF106E"/>
    <w:rsid w:val="42C133BC"/>
    <w:rsid w:val="42D769B6"/>
    <w:rsid w:val="44F600D3"/>
    <w:rsid w:val="45617704"/>
    <w:rsid w:val="459B4F7E"/>
    <w:rsid w:val="48B048DB"/>
    <w:rsid w:val="49DF5399"/>
    <w:rsid w:val="4A4831FA"/>
    <w:rsid w:val="4B7C707F"/>
    <w:rsid w:val="4B8C0594"/>
    <w:rsid w:val="4BDFF161"/>
    <w:rsid w:val="4C0F7B1B"/>
    <w:rsid w:val="4C887636"/>
    <w:rsid w:val="4CFE380A"/>
    <w:rsid w:val="4D862B8C"/>
    <w:rsid w:val="4DFF35F5"/>
    <w:rsid w:val="4EBF1B1D"/>
    <w:rsid w:val="4EF47599"/>
    <w:rsid w:val="4FE3578A"/>
    <w:rsid w:val="511A7835"/>
    <w:rsid w:val="5382777D"/>
    <w:rsid w:val="53CF9561"/>
    <w:rsid w:val="546121C6"/>
    <w:rsid w:val="54E94B5B"/>
    <w:rsid w:val="55661639"/>
    <w:rsid w:val="55761622"/>
    <w:rsid w:val="5BD857FA"/>
    <w:rsid w:val="5C080481"/>
    <w:rsid w:val="5D1B4C6E"/>
    <w:rsid w:val="5DFE65DB"/>
    <w:rsid w:val="5E202145"/>
    <w:rsid w:val="5F621BCD"/>
    <w:rsid w:val="6031647B"/>
    <w:rsid w:val="60B9109D"/>
    <w:rsid w:val="62F74A7A"/>
    <w:rsid w:val="63BB5260"/>
    <w:rsid w:val="63D25BB7"/>
    <w:rsid w:val="64C23E7D"/>
    <w:rsid w:val="65EE9BF0"/>
    <w:rsid w:val="668E2223"/>
    <w:rsid w:val="67FFD309"/>
    <w:rsid w:val="683026D9"/>
    <w:rsid w:val="693F388B"/>
    <w:rsid w:val="69FFFC0A"/>
    <w:rsid w:val="6D6B2492"/>
    <w:rsid w:val="6DBA21A1"/>
    <w:rsid w:val="6F136B04"/>
    <w:rsid w:val="7304780E"/>
    <w:rsid w:val="73731F46"/>
    <w:rsid w:val="75BB73CE"/>
    <w:rsid w:val="75ED0344"/>
    <w:rsid w:val="76CF1AF9"/>
    <w:rsid w:val="78AF3D07"/>
    <w:rsid w:val="7AB14320"/>
    <w:rsid w:val="7AF5051C"/>
    <w:rsid w:val="7BBA680A"/>
    <w:rsid w:val="7BE826AE"/>
    <w:rsid w:val="7BF3368A"/>
    <w:rsid w:val="7CCF532E"/>
    <w:rsid w:val="7DF033B2"/>
    <w:rsid w:val="7E00338F"/>
    <w:rsid w:val="7FAF8CE9"/>
    <w:rsid w:val="7FBE4C82"/>
    <w:rsid w:val="BDF63E3D"/>
    <w:rsid w:val="CB7C5BFC"/>
    <w:rsid w:val="DF3A5D3C"/>
    <w:rsid w:val="EEE3C452"/>
    <w:rsid w:val="EEF751F1"/>
    <w:rsid w:val="F57963B0"/>
    <w:rsid w:val="F9DB69FD"/>
    <w:rsid w:val="FF7E6780"/>
    <w:rsid w:val="FF7F5C5C"/>
    <w:rsid w:val="FFFEF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BodyText2"/>
    <w:qFormat/>
    <w:uiPriority w:val="0"/>
    <w:pPr>
      <w:widowControl w:val="0"/>
      <w:spacing w:after="120" w:line="480" w:lineRule="auto"/>
      <w:jc w:val="both"/>
      <w:textAlignment w:val="baseline"/>
    </w:pPr>
    <w:rPr>
      <w:rFonts w:ascii="Times New Roman" w:hAnsi="Times New Roman" w:eastAsia="宋体" w:cs="Times New Roman"/>
      <w:kern w:val="2"/>
      <w:sz w:val="32"/>
      <w:szCs w:val="32"/>
      <w:lang w:val="en-US" w:eastAsia="zh-CN" w:bidi="ar-SA"/>
    </w:rPr>
  </w:style>
  <w:style w:type="paragraph" w:styleId="3">
    <w:name w:val="Body Text"/>
    <w:basedOn w:val="1"/>
    <w:unhideWhenUsed/>
    <w:qFormat/>
    <w:uiPriority w:val="0"/>
    <w:pPr>
      <w:spacing w:after="120"/>
    </w:pPr>
  </w:style>
  <w:style w:type="paragraph" w:styleId="4">
    <w:name w:val="Balloon Text"/>
    <w:basedOn w:val="1"/>
    <w:link w:val="37"/>
    <w:semiHidden/>
    <w:unhideWhenUsed/>
    <w:qFormat/>
    <w:uiPriority w:val="0"/>
    <w:rPr>
      <w:sz w:val="18"/>
      <w:szCs w:val="18"/>
    </w:rPr>
  </w:style>
  <w:style w:type="paragraph" w:styleId="5">
    <w:name w:val="footer"/>
    <w:basedOn w:val="1"/>
    <w:link w:val="29"/>
    <w:qFormat/>
    <w:uiPriority w:val="99"/>
    <w:pPr>
      <w:tabs>
        <w:tab w:val="center" w:pos="4153"/>
        <w:tab w:val="right" w:pos="8306"/>
      </w:tabs>
      <w:snapToGrid w:val="0"/>
      <w:jc w:val="left"/>
    </w:pPr>
    <w:rPr>
      <w:sz w:val="18"/>
      <w:szCs w:val="18"/>
    </w:rPr>
  </w:style>
  <w:style w:type="paragraph" w:styleId="6">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Hyperlink"/>
    <w:basedOn w:val="10"/>
    <w:unhideWhenUsed/>
    <w:qFormat/>
    <w:uiPriority w:val="99"/>
    <w:rPr>
      <w:color w:val="0000FF"/>
      <w:u w:val="single"/>
    </w:rPr>
  </w:style>
  <w:style w:type="paragraph" w:customStyle="1" w:styleId="12">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表标题"/>
    <w:next w:val="1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4">
    <w:name w:val="正文图标题"/>
    <w:next w:val="12"/>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6">
    <w:name w:val="一级条标题"/>
    <w:next w:val="12"/>
    <w:qFormat/>
    <w:uiPriority w:val="0"/>
    <w:pPr>
      <w:spacing w:beforeLines="50" w:afterLines="50"/>
      <w:ind w:left="525"/>
      <w:outlineLvl w:val="2"/>
    </w:pPr>
    <w:rPr>
      <w:rFonts w:ascii="黑体" w:hAnsi="Times New Roman" w:eastAsia="黑体" w:cs="Times New Roman"/>
      <w:sz w:val="21"/>
      <w:szCs w:val="21"/>
      <w:lang w:val="en-US" w:eastAsia="zh-CN" w:bidi="ar-SA"/>
    </w:rPr>
  </w:style>
  <w:style w:type="paragraph" w:customStyle="1" w:styleId="17">
    <w:name w:val="章标题"/>
    <w:next w:val="1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二级条标题"/>
    <w:basedOn w:val="16"/>
    <w:next w:val="12"/>
    <w:qFormat/>
    <w:uiPriority w:val="0"/>
    <w:pPr>
      <w:spacing w:before="50" w:after="50"/>
      <w:ind w:left="525"/>
      <w:outlineLvl w:val="3"/>
    </w:pPr>
  </w:style>
  <w:style w:type="paragraph" w:customStyle="1" w:styleId="19">
    <w:name w:val="三级条标题"/>
    <w:basedOn w:val="18"/>
    <w:next w:val="12"/>
    <w:qFormat/>
    <w:uiPriority w:val="0"/>
    <w:pPr>
      <w:ind w:left="525"/>
      <w:outlineLvl w:val="4"/>
    </w:pPr>
  </w:style>
  <w:style w:type="paragraph" w:customStyle="1" w:styleId="20">
    <w:name w:val="四级条标题"/>
    <w:basedOn w:val="19"/>
    <w:next w:val="12"/>
    <w:qFormat/>
    <w:uiPriority w:val="0"/>
    <w:pPr>
      <w:ind w:left="525"/>
      <w:outlineLvl w:val="5"/>
    </w:pPr>
  </w:style>
  <w:style w:type="paragraph" w:customStyle="1" w:styleId="21">
    <w:name w:val="五级条标题"/>
    <w:basedOn w:val="20"/>
    <w:next w:val="12"/>
    <w:qFormat/>
    <w:uiPriority w:val="0"/>
    <w:pPr>
      <w:ind w:left="525"/>
      <w:outlineLvl w:val="6"/>
    </w:pPr>
  </w:style>
  <w:style w:type="paragraph" w:customStyle="1" w:styleId="22">
    <w:name w:val="注："/>
    <w:next w:val="12"/>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3">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4">
    <w:name w:val="附录图标题"/>
    <w:basedOn w:val="1"/>
    <w:next w:val="12"/>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5">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6">
    <w:name w:val="图表脚注说明"/>
    <w:basedOn w:val="1"/>
    <w:qFormat/>
    <w:uiPriority w:val="0"/>
    <w:pPr>
      <w:numPr>
        <w:ilvl w:val="0"/>
        <w:numId w:val="7"/>
      </w:numPr>
    </w:pPr>
    <w:rPr>
      <w:rFonts w:ascii="宋体"/>
      <w:sz w:val="18"/>
      <w:szCs w:val="18"/>
    </w:rPr>
  </w:style>
  <w:style w:type="character" w:customStyle="1" w:styleId="27">
    <w:name w:val="段 Char"/>
    <w:basedOn w:val="10"/>
    <w:link w:val="12"/>
    <w:qFormat/>
    <w:uiPriority w:val="0"/>
    <w:rPr>
      <w:rFonts w:ascii="宋体"/>
      <w:sz w:val="21"/>
      <w:lang w:val="en-US" w:eastAsia="zh-CN" w:bidi="ar-SA"/>
    </w:rPr>
  </w:style>
  <w:style w:type="character" w:customStyle="1" w:styleId="28">
    <w:name w:val="页眉 Char"/>
    <w:basedOn w:val="10"/>
    <w:link w:val="6"/>
    <w:qFormat/>
    <w:uiPriority w:val="0"/>
    <w:rPr>
      <w:kern w:val="2"/>
      <w:sz w:val="18"/>
      <w:szCs w:val="18"/>
    </w:rPr>
  </w:style>
  <w:style w:type="character" w:customStyle="1" w:styleId="29">
    <w:name w:val="页脚 Char"/>
    <w:basedOn w:val="10"/>
    <w:link w:val="5"/>
    <w:qFormat/>
    <w:uiPriority w:val="99"/>
    <w:rPr>
      <w:kern w:val="2"/>
      <w:sz w:val="18"/>
      <w:szCs w:val="18"/>
    </w:rPr>
  </w:style>
  <w:style w:type="paragraph" w:customStyle="1" w:styleId="30">
    <w:name w:val="附录表标题"/>
    <w:basedOn w:val="1"/>
    <w:next w:val="12"/>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1">
    <w:name w:val="List Paragraph"/>
    <w:basedOn w:val="1"/>
    <w:unhideWhenUsed/>
    <w:qFormat/>
    <w:uiPriority w:val="34"/>
    <w:pPr>
      <w:ind w:firstLine="420"/>
    </w:pPr>
  </w:style>
  <w:style w:type="paragraph" w:customStyle="1" w:styleId="3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4">
    <w:name w:val="发布"/>
    <w:qFormat/>
    <w:uiPriority w:val="0"/>
    <w:rPr>
      <w:rFonts w:ascii="黑体" w:eastAsia="黑体"/>
      <w:spacing w:val="22"/>
      <w:w w:val="100"/>
      <w:position w:val="3"/>
      <w:sz w:val="28"/>
    </w:rPr>
  </w:style>
  <w:style w:type="paragraph" w:customStyle="1" w:styleId="35">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7">
    <w:name w:val="批注框文本 Char"/>
    <w:basedOn w:val="10"/>
    <w:link w:val="4"/>
    <w:semiHidden/>
    <w:qFormat/>
    <w:uiPriority w:val="0"/>
    <w:rPr>
      <w:rFonts w:ascii="Times New Roman" w:hAnsi="Times New Roman"/>
      <w:kern w:val="2"/>
      <w:sz w:val="18"/>
      <w:szCs w:val="18"/>
    </w:rPr>
  </w:style>
  <w:style w:type="paragraph" w:customStyle="1" w:styleId="38">
    <w:name w:val="一级无"/>
    <w:basedOn w:val="16"/>
    <w:qFormat/>
    <w:uiPriority w:val="0"/>
    <w:pPr>
      <w:numPr>
        <w:ilvl w:val="1"/>
        <w:numId w:val="3"/>
      </w:numPr>
      <w:spacing w:beforeLines="0" w:afterLines="0"/>
    </w:pPr>
    <w:rPr>
      <w:rFonts w:ascii="宋体" w:eastAsia="宋体"/>
    </w:rPr>
  </w:style>
  <w:style w:type="paragraph" w:customStyle="1" w:styleId="39">
    <w:name w:val="标准文件_一级无标题"/>
    <w:basedOn w:val="40"/>
    <w:qFormat/>
    <w:uiPriority w:val="0"/>
    <w:pPr>
      <w:numPr>
        <w:numId w:val="9"/>
      </w:numPr>
      <w:tabs>
        <w:tab w:val="left" w:pos="0"/>
      </w:tabs>
    </w:pPr>
    <w:rPr>
      <w:rFonts w:hint="eastAsia" w:ascii="宋体"/>
    </w:rPr>
  </w:style>
  <w:style w:type="paragraph" w:customStyle="1" w:styleId="40">
    <w:name w:val="标准文件_一级条标题"/>
    <w:basedOn w:val="41"/>
    <w:next w:val="36"/>
    <w:qFormat/>
    <w:uiPriority w:val="0"/>
    <w:pPr>
      <w:numPr>
        <w:ilvl w:val="2"/>
      </w:numPr>
      <w:spacing w:before="50" w:beforeLines="50" w:after="50" w:afterLines="50"/>
      <w:outlineLvl w:val="1"/>
    </w:pPr>
  </w:style>
  <w:style w:type="paragraph" w:customStyle="1" w:styleId="41">
    <w:name w:val="标准文件_章标题"/>
    <w:next w:val="36"/>
    <w:qFormat/>
    <w:uiPriority w:val="0"/>
    <w:pPr>
      <w:numPr>
        <w:ilvl w:val="1"/>
        <w:numId w:val="10"/>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2">
    <w:name w:val="标准文件_二级无标题"/>
    <w:qFormat/>
    <w:uiPriority w:val="0"/>
    <w:pPr>
      <w:widowControl w:val="0"/>
      <w:numPr>
        <w:ilvl w:val="3"/>
        <w:numId w:val="11"/>
      </w:numPr>
      <w:jc w:val="both"/>
    </w:pPr>
    <w:rPr>
      <w:rFonts w:hint="eastAsia" w:ascii="宋体" w:hAnsi="Times New Roman" w:eastAsia="宋体" w:cs="Times New Roman"/>
      <w:sz w:val="21"/>
      <w:lang w:val="en-US" w:eastAsia="zh-CN" w:bidi="ar-SA"/>
    </w:rPr>
  </w:style>
  <w:style w:type="paragraph" w:customStyle="1" w:styleId="43">
    <w:name w:val="标准文件_一级项"/>
    <w:basedOn w:val="1"/>
    <w:qFormat/>
    <w:uiPriority w:val="0"/>
    <w:pPr>
      <w:widowControl/>
      <w:numPr>
        <w:ilvl w:val="0"/>
        <w:numId w:val="12"/>
      </w:numPr>
      <w:jc w:val="left"/>
    </w:pPr>
    <w:rPr>
      <w:rFonts w:hint="eastAsia" w:ascii="宋体" w:eastAsia="宋体"/>
      <w:kern w:val="0"/>
      <w:sz w:val="21"/>
      <w:szCs w:val="20"/>
    </w:rPr>
  </w:style>
  <w:style w:type="character" w:customStyle="1" w:styleId="44">
    <w:name w:val="标准文件_段 Char"/>
    <w:basedOn w:val="10"/>
    <w:qFormat/>
    <w:uiPriority w:val="0"/>
    <w:rPr>
      <w:rFonts w:hint="eastAsia" w:ascii="宋体" w:hAnsi="宋体" w:eastAsia="宋体" w:cs="宋体"/>
      <w:sz w:val="21"/>
    </w:rPr>
  </w:style>
  <w:style w:type="paragraph" w:customStyle="1" w:styleId="45">
    <w:name w:val="标准文件_二级条标题"/>
    <w:basedOn w:val="1"/>
    <w:next w:val="36"/>
    <w:qFormat/>
    <w:uiPriority w:val="0"/>
    <w:pPr>
      <w:numPr>
        <w:ilvl w:val="3"/>
        <w:numId w:val="13"/>
      </w:numPr>
      <w:spacing w:beforeLines="50" w:afterLines="50"/>
      <w:outlineLvl w:val="2"/>
    </w:pPr>
    <w:rPr>
      <w:rFonts w:hint="eastAsia" w:ascii="黑体" w:eastAsia="黑体"/>
      <w:kern w:val="0"/>
      <w:sz w:val="21"/>
      <w:szCs w:val="20"/>
    </w:rPr>
  </w:style>
  <w:style w:type="paragraph" w:customStyle="1" w:styleId="46">
    <w:name w:val="标准文件_附录一级条标题"/>
    <w:basedOn w:val="1"/>
    <w:next w:val="1"/>
    <w:qFormat/>
    <w:uiPriority w:val="0"/>
    <w:pPr>
      <w:numPr>
        <w:ilvl w:val="1"/>
        <w:numId w:val="14"/>
      </w:numPr>
      <w:spacing w:beforeLines="50" w:afterLines="50"/>
      <w:outlineLvl w:val="2"/>
    </w:pPr>
    <w:rPr>
      <w:rFonts w:hint="eastAsia" w:ascii="黑体" w:eastAsia="黑体"/>
      <w:kern w:val="21"/>
      <w:sz w:val="21"/>
      <w:szCs w:val="20"/>
    </w:rPr>
  </w:style>
  <w:style w:type="paragraph" w:customStyle="1" w:styleId="47">
    <w:name w:val="标准文件_附录表标题"/>
    <w:basedOn w:val="1"/>
    <w:qFormat/>
    <w:uiPriority w:val="0"/>
    <w:pPr>
      <w:widowControl/>
      <w:numPr>
        <w:ilvl w:val="1"/>
        <w:numId w:val="15"/>
      </w:numPr>
      <w:adjustRightInd w:val="0"/>
      <w:snapToGrid w:val="0"/>
      <w:spacing w:beforeLines="50" w:afterLines="50"/>
      <w:jc w:val="center"/>
    </w:pPr>
    <w:rPr>
      <w:rFonts w:hint="eastAsia" w:ascii="黑体" w:eastAsia="黑体"/>
      <w:kern w:val="21"/>
      <w:sz w:val="21"/>
      <w:szCs w:val="20"/>
    </w:rPr>
  </w:style>
  <w:style w:type="paragraph" w:customStyle="1" w:styleId="48">
    <w:name w:val="标准文件_注："/>
    <w:basedOn w:val="1"/>
    <w:qFormat/>
    <w:uiPriority w:val="0"/>
    <w:pPr>
      <w:numPr>
        <w:ilvl w:val="0"/>
        <w:numId w:val="16"/>
      </w:numPr>
      <w:autoSpaceDE w:val="0"/>
      <w:autoSpaceDN w:val="0"/>
    </w:pPr>
    <w:rPr>
      <w:rFonts w:hint="eastAsia" w:ascii="宋体" w:eastAsia="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17</Pages>
  <Words>6757</Words>
  <Characters>6895</Characters>
  <Lines>40</Lines>
  <Paragraphs>11</Paragraphs>
  <TotalTime>0</TotalTime>
  <ScaleCrop>false</ScaleCrop>
  <LinksUpToDate>false</LinksUpToDate>
  <CharactersWithSpaces>6960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2025-02-19T02:46:00Z</dcterms:created>
  <dc:creator>USER</dc:creator>
  <cp:lastModifiedBy>XIEX</cp:lastModifiedBy>
  <cp:lastPrinted>2025-01-15T04:51:00Z</cp:lastPrinted>
  <dcterms:modified xsi:type="dcterms:W3CDTF">2025-09-04T13:00:19Z</dcterms:modified>
  <dc:title>广西地方标准《脱氢枞酸》（征求意见稿）</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EBF7EDA0C0654B2BBC7C99E78ABC4BE8_13</vt:lpwstr>
  </property>
  <property fmtid="{D5CDD505-2E9C-101B-9397-08002B2CF9AE}" pid="4" name="KSOTemplateDocerSaveRecord">
    <vt:lpwstr>eyJoZGlkIjoiNmU0OWNhMGUyYzc2MTI5ZWY2NzM4MTVkMDAwODg0YzMiLCJ1c2VySWQiOiI2ODM5ODUzMDMifQ==</vt:lpwstr>
  </property>
</Properties>
</file>